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
          <w:b/>
          <w:sz w:val="36"/>
          <w:szCs w:val="36"/>
        </w:rPr>
      </w:pPr>
      <w:r>
        <w:rPr>
          <w:rFonts w:hint="eastAsia" w:ascii="仿宋" w:hAnsi="仿宋" w:eastAsia="仿宋" w:cs="仿宋"/>
          <w:b/>
          <w:sz w:val="36"/>
          <w:szCs w:val="36"/>
        </w:rPr>
        <w:t>合肥经济技术开发区企事业单位环境信息公开表</w:t>
      </w:r>
    </w:p>
    <w:p>
      <w:pPr>
        <w:adjustRightInd w:val="0"/>
        <w:snapToGrid w:val="0"/>
        <w:jc w:val="center"/>
        <w:rPr>
          <w:rFonts w:ascii="仿宋" w:hAnsi="仿宋" w:eastAsia="仿宋" w:cs="仿宋"/>
          <w:b/>
          <w:sz w:val="36"/>
          <w:szCs w:val="36"/>
        </w:rPr>
      </w:pPr>
      <w:r>
        <w:rPr>
          <w:rFonts w:hint="eastAsia" w:ascii="仿宋" w:hAnsi="仿宋" w:eastAsia="仿宋" w:cs="仿宋"/>
          <w:b/>
          <w:sz w:val="36"/>
          <w:szCs w:val="36"/>
        </w:rPr>
        <w:t>（2021年度）</w:t>
      </w:r>
      <w:bookmarkStart w:id="7" w:name="_GoBack"/>
      <w:bookmarkEnd w:id="7"/>
    </w:p>
    <w:tbl>
      <w:tblPr>
        <w:tblStyle w:val="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899"/>
        <w:gridCol w:w="222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企业名称</w:t>
            </w:r>
          </w:p>
        </w:tc>
        <w:tc>
          <w:tcPr>
            <w:tcW w:w="2899" w:type="dxa"/>
            <w:vAlign w:val="center"/>
          </w:tcPr>
          <w:p>
            <w:pPr>
              <w:spacing w:line="24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安徽江淮汽车集团股份有限公司轿车分公司</w:t>
            </w:r>
          </w:p>
        </w:tc>
        <w:tc>
          <w:tcPr>
            <w:tcW w:w="2228" w:type="dxa"/>
            <w:vAlign w:val="center"/>
          </w:tcPr>
          <w:p>
            <w:pPr>
              <w:adjustRightInd w:val="0"/>
              <w:snapToGrid w:val="0"/>
              <w:spacing w:line="240" w:lineRule="auto"/>
              <w:rPr>
                <w:rFonts w:ascii="Times New Roman" w:hAnsi="Times New Roman"/>
                <w:b/>
                <w:sz w:val="24"/>
                <w:szCs w:val="24"/>
              </w:rPr>
            </w:pPr>
            <w:r>
              <w:rPr>
                <w:rFonts w:hint="eastAsia" w:ascii="Times New Roman" w:hAnsi="Times New Roman"/>
                <w:b/>
                <w:sz w:val="24"/>
                <w:szCs w:val="24"/>
              </w:rPr>
              <w:t>统一社会信用代码</w:t>
            </w:r>
          </w:p>
        </w:tc>
        <w:tc>
          <w:tcPr>
            <w:tcW w:w="1856" w:type="dxa"/>
            <w:vAlign w:val="center"/>
          </w:tcPr>
          <w:p>
            <w:pPr>
              <w:spacing w:line="24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91340000670941897L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法定代表人</w:t>
            </w:r>
          </w:p>
        </w:tc>
        <w:tc>
          <w:tcPr>
            <w:tcW w:w="2899" w:type="dxa"/>
            <w:vAlign w:val="center"/>
          </w:tcPr>
          <w:p>
            <w:pPr>
              <w:spacing w:line="24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尹兴科</w:t>
            </w:r>
          </w:p>
        </w:tc>
        <w:tc>
          <w:tcPr>
            <w:tcW w:w="222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联系方式</w:t>
            </w:r>
          </w:p>
        </w:tc>
        <w:tc>
          <w:tcPr>
            <w:tcW w:w="1856" w:type="dxa"/>
            <w:vAlign w:val="center"/>
          </w:tcPr>
          <w:p>
            <w:pPr>
              <w:spacing w:line="24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18955155105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hint="eastAsia" w:ascii="Times New Roman" w:hAnsi="Times New Roman"/>
                <w:b/>
                <w:sz w:val="24"/>
                <w:szCs w:val="24"/>
              </w:rPr>
              <w:t>生产经营和管理服务的</w:t>
            </w:r>
            <w:r>
              <w:rPr>
                <w:rFonts w:ascii="Times New Roman" w:hAnsi="Times New Roman"/>
                <w:b/>
                <w:sz w:val="24"/>
                <w:szCs w:val="24"/>
              </w:rPr>
              <w:t>主要</w:t>
            </w:r>
            <w:r>
              <w:rPr>
                <w:rFonts w:hint="eastAsia" w:ascii="Times New Roman" w:hAnsi="Times New Roman"/>
                <w:b/>
                <w:sz w:val="24"/>
                <w:szCs w:val="24"/>
              </w:rPr>
              <w:t>内容、</w:t>
            </w:r>
            <w:r>
              <w:rPr>
                <w:rFonts w:ascii="Times New Roman" w:hAnsi="Times New Roman"/>
                <w:b/>
                <w:sz w:val="24"/>
                <w:szCs w:val="24"/>
              </w:rPr>
              <w:t>产品及</w:t>
            </w:r>
          </w:p>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规模</w:t>
            </w:r>
          </w:p>
        </w:tc>
        <w:tc>
          <w:tcPr>
            <w:tcW w:w="6983" w:type="dxa"/>
            <w:gridSpan w:val="3"/>
            <w:vAlign w:val="center"/>
          </w:tcPr>
          <w:p>
            <w:pPr>
              <w:spacing w:line="24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汽车整车制造，年产24万辆整车，具备完整的汽车四大工艺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企业地址</w:t>
            </w:r>
          </w:p>
        </w:tc>
        <w:tc>
          <w:tcPr>
            <w:tcW w:w="6983" w:type="dxa"/>
            <w:gridSpan w:val="3"/>
            <w:vAlign w:val="center"/>
          </w:tcPr>
          <w:p>
            <w:pPr>
              <w:spacing w:line="24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安徽省合肥市桃花工业园始信路669号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企业网站</w:t>
            </w:r>
          </w:p>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983" w:type="dxa"/>
            <w:gridSpan w:val="3"/>
            <w:vAlign w:val="center"/>
          </w:tcPr>
          <w:p>
            <w:pPr>
              <w:spacing w:line="24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http://www.jac.com.cn/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hint="eastAsia" w:ascii="Times New Roman" w:hAnsi="Times New Roman"/>
                <w:b/>
                <w:sz w:val="24"/>
                <w:szCs w:val="24"/>
              </w:rPr>
              <w:t>主要</w:t>
            </w:r>
            <w:r>
              <w:rPr>
                <w:rFonts w:ascii="Times New Roman" w:hAnsi="Times New Roman"/>
                <w:b/>
                <w:sz w:val="24"/>
                <w:szCs w:val="24"/>
              </w:rPr>
              <w:t>污染物及特征</w:t>
            </w:r>
            <w:r>
              <w:rPr>
                <w:rFonts w:hint="eastAsia" w:ascii="Times New Roman" w:hAnsi="Times New Roman"/>
                <w:b/>
                <w:sz w:val="24"/>
                <w:szCs w:val="24"/>
              </w:rPr>
              <w:t>污染物的名称</w:t>
            </w:r>
          </w:p>
        </w:tc>
        <w:tc>
          <w:tcPr>
            <w:tcW w:w="6983" w:type="dxa"/>
            <w:gridSpan w:val="3"/>
            <w:vAlign w:val="center"/>
          </w:tcPr>
          <w:p>
            <w:pPr>
              <w:spacing w:line="240" w:lineRule="auto"/>
              <w:ind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废水：</w:t>
            </w:r>
            <w:r>
              <w:rPr>
                <w:rFonts w:hint="eastAsia" w:ascii="宋体" w:hAnsi="宋体" w:eastAsia="宋体" w:cs="宋体"/>
                <w:color w:val="auto"/>
                <w:kern w:val="2"/>
                <w:sz w:val="24"/>
                <w:szCs w:val="24"/>
                <w:highlight w:val="none"/>
                <w:lang w:val="en-US" w:eastAsia="zh-CN"/>
              </w:rPr>
              <w:t>PH值、总镍、COD</w:t>
            </w:r>
            <w:r>
              <w:rPr>
                <w:rFonts w:hint="eastAsia" w:ascii="宋体" w:hAnsi="宋体" w:eastAsia="宋体" w:cs="宋体"/>
                <w:color w:val="auto"/>
                <w:kern w:val="2"/>
                <w:sz w:val="24"/>
                <w:szCs w:val="24"/>
                <w:highlight w:val="none"/>
                <w:lang w:eastAsia="zh-CN"/>
              </w:rPr>
              <w:t>、氨氮、</w:t>
            </w:r>
            <w:r>
              <w:rPr>
                <w:rFonts w:hint="eastAsia" w:ascii="宋体" w:hAnsi="宋体" w:eastAsia="宋体" w:cs="宋体"/>
                <w:color w:val="auto"/>
                <w:kern w:val="2"/>
                <w:sz w:val="24"/>
                <w:szCs w:val="24"/>
                <w:highlight w:val="none"/>
                <w:lang w:val="en-US" w:eastAsia="zh-CN"/>
              </w:rPr>
              <w:t>磷酸盐、石油类、悬浮物、</w:t>
            </w:r>
            <w:r>
              <w:rPr>
                <w:rFonts w:hint="eastAsia" w:ascii="宋体" w:hAnsi="宋体" w:eastAsia="宋体" w:cs="宋体"/>
                <w:color w:val="auto"/>
                <w:kern w:val="2"/>
                <w:sz w:val="24"/>
                <w:szCs w:val="24"/>
                <w:highlight w:val="none"/>
                <w:lang w:eastAsia="zh-CN"/>
              </w:rPr>
              <w:t>BOD</w:t>
            </w:r>
            <w:r>
              <w:rPr>
                <w:rFonts w:hint="eastAsia" w:ascii="宋体" w:hAnsi="宋体" w:eastAsia="宋体" w:cs="宋体"/>
                <w:color w:val="auto"/>
                <w:kern w:val="2"/>
                <w:sz w:val="24"/>
                <w:szCs w:val="24"/>
                <w:highlight w:val="none"/>
                <w:lang w:val="en-US" w:eastAsia="zh-CN"/>
              </w:rPr>
              <w:t>5、总锌、氟化物</w:t>
            </w:r>
          </w:p>
          <w:p>
            <w:pPr>
              <w:spacing w:line="240" w:lineRule="auto"/>
              <w:ind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废气：颗粒物</w:t>
            </w:r>
            <w:r>
              <w:rPr>
                <w:rFonts w:hint="eastAsia" w:ascii="宋体" w:hAnsi="宋体" w:eastAsia="宋体" w:cs="宋体"/>
                <w:color w:val="auto"/>
                <w:kern w:val="2"/>
                <w:sz w:val="24"/>
                <w:szCs w:val="24"/>
                <w:highlight w:val="none"/>
                <w:lang w:eastAsia="zh-CN"/>
              </w:rPr>
              <w:t>、甲苯、二甲苯、非甲烷总烃、氮氧化物、二氧化硫</w:t>
            </w:r>
          </w:p>
          <w:p>
            <w:pPr>
              <w:spacing w:line="24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固废</w:t>
            </w:r>
            <w:r>
              <w:rPr>
                <w:rFonts w:hint="eastAsia" w:ascii="宋体" w:hAnsi="宋体" w:eastAsia="宋体" w:cs="宋体"/>
                <w:color w:val="auto"/>
                <w:kern w:val="2"/>
                <w:sz w:val="24"/>
                <w:szCs w:val="24"/>
                <w:highlight w:val="none"/>
                <w:lang w:val="en-US" w:eastAsia="zh-CN"/>
              </w:rPr>
              <w:t>：废矿物油、漆渣及沾染物、废胶及沾染物、磷化渣、污水处理物化+生化污泥等；一般固废包含冲压边角料及整车零部件等。</w:t>
            </w:r>
          </w:p>
          <w:p>
            <w:pPr>
              <w:spacing w:line="240" w:lineRule="auto"/>
              <w:ind w:firstLine="480" w:firstLineChars="200"/>
              <w:jc w:val="left"/>
              <w:rPr>
                <w:rFonts w:ascii="Times New Roman" w:hAnsi="Times New Roman" w:eastAsia="楷体"/>
                <w:sz w:val="24"/>
                <w:szCs w:val="24"/>
              </w:rPr>
            </w:pPr>
            <w:r>
              <w:rPr>
                <w:rFonts w:hint="eastAsia" w:ascii="宋体" w:hAnsi="宋体" w:eastAsia="宋体" w:cs="宋体"/>
                <w:color w:val="auto"/>
                <w:kern w:val="2"/>
                <w:sz w:val="24"/>
                <w:szCs w:val="24"/>
                <w:highlight w:val="none"/>
                <w:lang w:val="en-US" w:eastAsia="zh-CN"/>
              </w:rPr>
              <w:t>土壤：重金属8项、半挥发性有机物11项、石油烃（C10-C40）、pH。地下水：pH、重金属8项、</w:t>
            </w:r>
            <w:r>
              <w:rPr>
                <w:rFonts w:hint="eastAsia" w:ascii="宋体" w:hAnsi="宋体" w:eastAsia="宋体" w:cs="宋体"/>
                <w:color w:val="auto"/>
                <w:kern w:val="2"/>
                <w:sz w:val="24"/>
                <w:szCs w:val="24"/>
                <w:highlight w:val="none"/>
                <w:lang w:eastAsia="zh-CN"/>
              </w:rPr>
              <w:t>非甲烷总烃</w:t>
            </w:r>
            <w:r>
              <w:rPr>
                <w:rFonts w:hint="eastAsia" w:ascii="宋体" w:hAnsi="宋体" w:eastAsia="宋体" w:cs="宋体"/>
                <w:color w:val="auto"/>
                <w:kern w:val="2"/>
                <w:sz w:val="24"/>
                <w:szCs w:val="24"/>
                <w:highlight w:val="none"/>
                <w:lang w:val="en-US" w:eastAsia="zh-CN"/>
              </w:rPr>
              <w:t>、萘、苯并[a]芘、苯并[b]荧蒽、挥发性酚类。</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排放方式</w:t>
            </w:r>
          </w:p>
        </w:tc>
        <w:tc>
          <w:tcPr>
            <w:tcW w:w="6983" w:type="dxa"/>
            <w:gridSpan w:val="3"/>
            <w:vAlign w:val="center"/>
          </w:tcPr>
          <w:p>
            <w:pPr>
              <w:spacing w:line="24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废水：</w:t>
            </w:r>
            <w:r>
              <w:rPr>
                <w:rFonts w:hint="eastAsia" w:ascii="宋体" w:hAnsi="宋体" w:eastAsia="宋体" w:cs="宋体"/>
                <w:color w:val="auto"/>
                <w:kern w:val="2"/>
                <w:sz w:val="24"/>
                <w:szCs w:val="24"/>
                <w:highlight w:val="none"/>
                <w:lang w:eastAsia="zh-CN"/>
              </w:rPr>
              <w:t>轿车一期建有 2 座污水处理站，分别为30t/h处理规模的预处理站和100t/h处理规模的全厂污水处理站。 预处理站采用物化处理工艺，</w:t>
            </w:r>
            <w:r>
              <w:rPr>
                <w:rFonts w:hint="eastAsia" w:ascii="宋体" w:hAnsi="宋体" w:cs="宋体"/>
                <w:color w:val="auto"/>
                <w:kern w:val="2"/>
                <w:sz w:val="24"/>
                <w:szCs w:val="24"/>
                <w:highlight w:val="none"/>
                <w:lang w:eastAsia="zh-CN"/>
              </w:rPr>
              <w:t>增设总镍自动监测设施；</w:t>
            </w:r>
            <w:r>
              <w:rPr>
                <w:rFonts w:hint="eastAsia" w:ascii="宋体" w:hAnsi="宋体" w:eastAsia="宋体" w:cs="宋体"/>
                <w:color w:val="auto"/>
                <w:kern w:val="2"/>
                <w:sz w:val="24"/>
                <w:szCs w:val="24"/>
                <w:highlight w:val="none"/>
                <w:lang w:eastAsia="zh-CN"/>
              </w:rPr>
              <w:t>全厂污水处理站采用生化处理工艺预处理站主要处理涂装车间产生的废水、废液，全厂污水处理站主要处理经过预处理站处理过的废水，总装车间淋雨试验废水及厂区生活污水。按照“清污分流”的原则，各冷却循环水系统排污水及纯水制备浓盐水直接排入市政雨水管网</w:t>
            </w:r>
            <w:r>
              <w:rPr>
                <w:rFonts w:hint="eastAsia" w:ascii="宋体" w:hAnsi="宋体" w:cs="宋体"/>
                <w:color w:val="auto"/>
                <w:kern w:val="2"/>
                <w:sz w:val="24"/>
                <w:szCs w:val="24"/>
                <w:highlight w:val="none"/>
                <w:lang w:eastAsia="zh-CN"/>
              </w:rPr>
              <w:t>，末端对</w:t>
            </w:r>
            <w:r>
              <w:rPr>
                <w:rFonts w:hint="eastAsia" w:ascii="宋体" w:hAnsi="宋体" w:cs="宋体"/>
                <w:color w:val="auto"/>
                <w:kern w:val="2"/>
                <w:sz w:val="24"/>
                <w:szCs w:val="24"/>
                <w:highlight w:val="none"/>
                <w:lang w:val="en-US" w:eastAsia="zh-CN"/>
              </w:rPr>
              <w:t>COD、氨氮、总磷、PH值、流量等污染物采用自动监测，其余污染源采用手工监测</w:t>
            </w:r>
            <w:r>
              <w:rPr>
                <w:rFonts w:hint="eastAsia" w:ascii="宋体" w:hAnsi="宋体" w:eastAsia="宋体" w:cs="宋体"/>
                <w:color w:val="auto"/>
                <w:kern w:val="2"/>
                <w:sz w:val="24"/>
                <w:szCs w:val="24"/>
                <w:highlight w:val="none"/>
                <w:lang w:eastAsia="zh-CN"/>
              </w:rPr>
              <w:t>。废水经全厂污水处理站处理后排入合肥市经济开发区污水管网进入合肥经济技术开发区污水处理厂深度处理。</w:t>
            </w:r>
            <w:r>
              <w:rPr>
                <w:rFonts w:hint="eastAsia"/>
                <w:color w:val="auto"/>
                <w:sz w:val="24"/>
                <w:szCs w:val="24"/>
                <w:highlight w:val="none"/>
                <w:lang w:val="en-US" w:eastAsia="zh-CN" w:bidi="ar"/>
              </w:rPr>
              <w:t xml:space="preserve"> </w:t>
            </w:r>
          </w:p>
          <w:p>
            <w:pPr>
              <w:spacing w:line="240" w:lineRule="auto"/>
              <w:jc w:val="left"/>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 xml:space="preserve">    废气：</w:t>
            </w:r>
            <w:r>
              <w:rPr>
                <w:rFonts w:hint="eastAsia" w:ascii="宋体" w:hAnsi="宋体" w:eastAsia="宋体" w:cs="宋体"/>
                <w:color w:val="auto"/>
                <w:kern w:val="2"/>
                <w:sz w:val="24"/>
                <w:szCs w:val="24"/>
                <w:highlight w:val="none"/>
                <w:lang w:eastAsia="zh-CN"/>
              </w:rPr>
              <w:t>轿车一期共有</w:t>
            </w:r>
            <w:r>
              <w:rPr>
                <w:rFonts w:hint="eastAsia" w:ascii="宋体" w:hAnsi="宋体" w:eastAsia="宋体" w:cs="宋体"/>
                <w:color w:val="auto"/>
                <w:kern w:val="2"/>
                <w:sz w:val="24"/>
                <w:szCs w:val="24"/>
                <w:highlight w:val="none"/>
                <w:lang w:val="en-US" w:eastAsia="zh-CN"/>
              </w:rPr>
              <w:t>23</w:t>
            </w:r>
            <w:r>
              <w:rPr>
                <w:rFonts w:hint="eastAsia" w:ascii="宋体" w:hAnsi="宋体" w:eastAsia="宋体" w:cs="宋体"/>
                <w:color w:val="auto"/>
                <w:kern w:val="2"/>
                <w:sz w:val="24"/>
                <w:szCs w:val="24"/>
                <w:highlight w:val="none"/>
                <w:lang w:eastAsia="zh-CN"/>
              </w:rPr>
              <w:t>个废气排口，污染源主要为焊装车间生产过程中产生的烟尘、涂装车间喷漆室及烘干室产生的挥发性有机废气和漆雾、总装车间汽车检测及下线时产生的汽车尾气。焊装车间采用 2套</w:t>
            </w:r>
            <w:r>
              <w:rPr>
                <w:rFonts w:hint="eastAsia" w:ascii="宋体" w:hAnsi="宋体" w:cs="宋体"/>
                <w:color w:val="auto"/>
                <w:kern w:val="2"/>
                <w:sz w:val="24"/>
                <w:szCs w:val="24"/>
                <w:highlight w:val="none"/>
                <w:lang w:eastAsia="zh-CN"/>
              </w:rPr>
              <w:t>滤筒式</w:t>
            </w:r>
            <w:r>
              <w:rPr>
                <w:rFonts w:hint="eastAsia" w:ascii="宋体" w:hAnsi="宋体" w:eastAsia="宋体" w:cs="宋体"/>
                <w:color w:val="auto"/>
                <w:kern w:val="2"/>
                <w:sz w:val="24"/>
                <w:szCs w:val="24"/>
                <w:highlight w:val="none"/>
                <w:lang w:eastAsia="zh-CN"/>
              </w:rPr>
              <w:t>净化系统处理</w:t>
            </w:r>
            <w:r>
              <w:rPr>
                <w:rFonts w:hint="eastAsia" w:ascii="宋体" w:hAnsi="宋体" w:cs="宋体"/>
                <w:color w:val="auto"/>
                <w:kern w:val="2"/>
                <w:sz w:val="24"/>
                <w:szCs w:val="24"/>
                <w:highlight w:val="none"/>
                <w:lang w:eastAsia="zh-CN"/>
              </w:rPr>
              <w:t>；涂装</w:t>
            </w:r>
            <w:r>
              <w:rPr>
                <w:rFonts w:hint="eastAsia" w:ascii="宋体" w:hAnsi="宋体" w:eastAsia="宋体" w:cs="宋体"/>
                <w:color w:val="auto"/>
                <w:kern w:val="2"/>
                <w:sz w:val="24"/>
                <w:szCs w:val="24"/>
                <w:highlight w:val="none"/>
                <w:lang w:eastAsia="zh-CN"/>
              </w:rPr>
              <w:t>电泳烘干</w:t>
            </w:r>
            <w:r>
              <w:rPr>
                <w:rFonts w:hint="eastAsia" w:ascii="宋体" w:hAnsi="宋体" w:cs="宋体"/>
                <w:color w:val="auto"/>
                <w:kern w:val="2"/>
                <w:sz w:val="24"/>
                <w:szCs w:val="24"/>
                <w:highlight w:val="none"/>
                <w:lang w:eastAsia="zh-CN"/>
              </w:rPr>
              <w:t>、中涂烘干、面漆烘干</w:t>
            </w:r>
            <w:r>
              <w:rPr>
                <w:rFonts w:hint="eastAsia" w:ascii="宋体" w:hAnsi="宋体" w:eastAsia="宋体" w:cs="宋体"/>
                <w:color w:val="auto"/>
                <w:kern w:val="2"/>
                <w:sz w:val="24"/>
                <w:szCs w:val="24"/>
                <w:highlight w:val="none"/>
                <w:lang w:eastAsia="zh-CN"/>
              </w:rPr>
              <w:t>室产生含非甲烷总烃有机废气， 采用直接燃烧装置净化，废气经</w:t>
            </w: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eastAsia="zh-CN"/>
              </w:rPr>
              <w:t>根</w:t>
            </w:r>
            <w:r>
              <w:rPr>
                <w:rFonts w:hint="eastAsia" w:ascii="宋体" w:hAnsi="宋体" w:eastAsia="宋体" w:cs="宋体"/>
                <w:color w:val="auto"/>
                <w:kern w:val="2"/>
                <w:sz w:val="24"/>
                <w:szCs w:val="24"/>
                <w:highlight w:val="none"/>
                <w:lang w:eastAsia="zh-CN"/>
              </w:rPr>
              <w:t>25m排气筒排放</w:t>
            </w:r>
            <w:r>
              <w:rPr>
                <w:rFonts w:hint="eastAsia" w:ascii="宋体" w:hAnsi="宋体" w:cs="宋体"/>
                <w:color w:val="auto"/>
                <w:kern w:val="2"/>
                <w:sz w:val="24"/>
                <w:szCs w:val="24"/>
                <w:highlight w:val="none"/>
                <w:lang w:eastAsia="zh-CN"/>
              </w:rPr>
              <w:t>；喷漆废气中油性漆喷涂及流平废气采用循环风浓缩工艺，末端采用沸石转轮</w:t>
            </w:r>
            <w:r>
              <w:rPr>
                <w:rFonts w:hint="eastAsia" w:ascii="宋体" w:hAnsi="宋体" w:cs="宋体"/>
                <w:color w:val="auto"/>
                <w:kern w:val="2"/>
                <w:sz w:val="24"/>
                <w:szCs w:val="24"/>
                <w:highlight w:val="none"/>
                <w:lang w:val="en-US" w:eastAsia="zh-CN"/>
              </w:rPr>
              <w:t>+蓄热燃烧处理后由1根65米排气筒排放，增设挥发性有机物自动监测设施；</w:t>
            </w:r>
            <w:r>
              <w:rPr>
                <w:rFonts w:hint="eastAsia" w:ascii="宋体" w:hAnsi="宋体" w:eastAsia="宋体" w:cs="宋体"/>
                <w:color w:val="auto"/>
                <w:kern w:val="2"/>
                <w:sz w:val="24"/>
                <w:szCs w:val="24"/>
                <w:highlight w:val="none"/>
                <w:lang w:eastAsia="zh-CN"/>
              </w:rPr>
              <w:t xml:space="preserve">总装合装下线处采用收集系统，产生的尾气由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 xml:space="preserve"> 个15m高排气筒排放。汽车转鼓房3个检测间，产生少量尾气由 3个15m 高排气筒排放。在厂区边界设置</w:t>
            </w:r>
            <w:r>
              <w:rPr>
                <w:rFonts w:hint="eastAsia" w:ascii="宋体" w:hAnsi="宋体" w:eastAsia="宋体" w:cs="宋体"/>
                <w:color w:val="auto"/>
                <w:kern w:val="2"/>
                <w:sz w:val="24"/>
                <w:szCs w:val="24"/>
                <w:highlight w:val="none"/>
                <w:lang w:val="en-US" w:eastAsia="zh-CN"/>
              </w:rPr>
              <w:t>4个无组织废气检测点位。</w:t>
            </w:r>
          </w:p>
          <w:p>
            <w:pPr>
              <w:spacing w:line="240" w:lineRule="auto"/>
              <w:ind w:firstLine="48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厂区设置4个厂界噪音监测点位。</w:t>
            </w:r>
          </w:p>
          <w:p>
            <w:pPr>
              <w:spacing w:line="240" w:lineRule="auto"/>
              <w:ind w:firstLine="48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依据生态环境部2021年1号文发布《重点监管单位土壤污染隐患排查指南（试行）》</w:t>
            </w:r>
            <w:r>
              <w:rPr>
                <w:rFonts w:hint="eastAsia" w:ascii="宋体" w:hAnsi="宋体" w:cs="宋体"/>
                <w:color w:val="auto"/>
                <w:kern w:val="2"/>
                <w:sz w:val="24"/>
                <w:szCs w:val="24"/>
                <w:highlight w:val="none"/>
                <w:lang w:val="en-US" w:eastAsia="zh-CN"/>
              </w:rPr>
              <w:t>开展</w:t>
            </w:r>
            <w:r>
              <w:rPr>
                <w:rFonts w:hint="eastAsia" w:ascii="宋体" w:hAnsi="宋体" w:eastAsia="宋体" w:cs="宋体"/>
                <w:color w:val="auto"/>
                <w:kern w:val="2"/>
                <w:sz w:val="24"/>
                <w:szCs w:val="24"/>
                <w:highlight w:val="none"/>
                <w:lang w:val="en-US" w:eastAsia="zh-CN"/>
              </w:rPr>
              <w:t>土壤污染隐患排查工作。</w:t>
            </w:r>
          </w:p>
          <w:p>
            <w:pPr>
              <w:adjustRightInd w:val="0"/>
              <w:snapToGrid w:val="0"/>
              <w:spacing w:line="240" w:lineRule="auto"/>
              <w:jc w:val="center"/>
              <w:rPr>
                <w:rFonts w:ascii="Times New Roman" w:hAnsi="Times New Roman"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排放口数量和分布情况</w:t>
            </w:r>
          </w:p>
        </w:tc>
        <w:tc>
          <w:tcPr>
            <w:tcW w:w="6983" w:type="dxa"/>
            <w:gridSpan w:val="3"/>
            <w:vAlign w:val="center"/>
          </w:tcPr>
          <w:p>
            <w:pPr>
              <w:pStyle w:val="2"/>
              <w:keepNext w:val="0"/>
              <w:keepLines w:val="0"/>
              <w:pageBreakBefore w:val="0"/>
              <w:numPr>
                <w:ilvl w:val="0"/>
                <w:numId w:val="0"/>
              </w:numPr>
              <w:kinsoku/>
              <w:wordWrap/>
              <w:overflowPunct/>
              <w:topLinePunct w:val="0"/>
              <w:bidi w:val="0"/>
              <w:snapToGrid/>
              <w:spacing w:line="240" w:lineRule="auto"/>
              <w:ind w:left="0" w:leftChars="0" w:right="0" w:rightChars="0" w:firstLine="480"/>
              <w:outlineLvl w:val="9"/>
              <w:rPr>
                <w:rFonts w:ascii="Times New Roman" w:hAnsi="Times New Roman" w:eastAsia="楷体"/>
                <w:sz w:val="24"/>
                <w:szCs w:val="24"/>
              </w:rPr>
            </w:pPr>
            <w:r>
              <w:rPr>
                <w:rFonts w:hint="eastAsia" w:ascii="宋体" w:hAnsi="宋体" w:eastAsia="宋体" w:cs="宋体"/>
                <w:color w:val="auto"/>
                <w:kern w:val="2"/>
                <w:sz w:val="24"/>
                <w:szCs w:val="24"/>
                <w:highlight w:val="none"/>
                <w:lang w:eastAsia="zh-CN"/>
              </w:rPr>
              <w:t>轿车分公司</w:t>
            </w:r>
            <w:r>
              <w:rPr>
                <w:rFonts w:hint="eastAsia" w:ascii="宋体" w:hAnsi="宋体" w:eastAsia="宋体" w:cs="宋体"/>
                <w:color w:val="auto"/>
                <w:kern w:val="2"/>
                <w:sz w:val="24"/>
                <w:szCs w:val="24"/>
                <w:highlight w:val="none"/>
                <w:lang w:val="en-US" w:eastAsia="zh-CN"/>
              </w:rPr>
              <w:t>一期废气有组织排口23个，主要为焊接烟尘、涂装喷漆+烘干、总装尾气等；废水涂装第一类污染物污排放口1个和厂区污水总排放口1个；雨水排放口2个。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排放浓度</w:t>
            </w:r>
          </w:p>
        </w:tc>
        <w:tc>
          <w:tcPr>
            <w:tcW w:w="6983" w:type="dxa"/>
            <w:gridSpan w:val="3"/>
            <w:vAlign w:val="center"/>
          </w:tcPr>
          <w:tbl>
            <w:tblPr>
              <w:tblStyle w:val="7"/>
              <w:tblW w:w="6236" w:type="dxa"/>
              <w:jc w:val="center"/>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0"/>
              <w:gridCol w:w="1622"/>
              <w:gridCol w:w="4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3" w:hRule="atLeast"/>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污染物名称</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排放浓度（mg/L）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u w:val="none"/>
                      <w:lang w:val="en-US" w:eastAsia="zh-CN" w:bidi="ar"/>
                    </w:rPr>
                    <w:t>COD</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总氮</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磷酸盐</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氨氮</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总镍</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val="en-US" w:eastAsia="zh-CN"/>
                    </w:rPr>
                    <w:t>VOCs</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3.06</w:t>
                  </w:r>
                </w:p>
              </w:tc>
            </w:tr>
          </w:tbl>
          <w:p>
            <w:pPr>
              <w:adjustRightInd w:val="0"/>
              <w:snapToGrid w:val="0"/>
              <w:spacing w:line="240" w:lineRule="auto"/>
              <w:jc w:val="center"/>
              <w:rPr>
                <w:rFonts w:ascii="Times New Roman" w:hAnsi="Times New Roman"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排放总量</w:t>
            </w:r>
          </w:p>
        </w:tc>
        <w:tc>
          <w:tcPr>
            <w:tcW w:w="6983" w:type="dxa"/>
            <w:gridSpan w:val="3"/>
            <w:vAlign w:val="center"/>
          </w:tcPr>
          <w:tbl>
            <w:tblPr>
              <w:tblStyle w:val="7"/>
              <w:tblW w:w="6236" w:type="dxa"/>
              <w:jc w:val="center"/>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1"/>
              <w:gridCol w:w="1634"/>
              <w:gridCol w:w="4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3"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污染物名称</w:t>
                  </w:r>
                </w:p>
              </w:tc>
              <w:tc>
                <w:tcPr>
                  <w:tcW w:w="4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排放量（吨）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u w:val="none"/>
                      <w:lang w:val="en-US" w:eastAsia="zh-CN" w:bidi="ar"/>
                    </w:rPr>
                    <w:t>COD</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9.169033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总氮</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2.968283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磷酸盐</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0.116331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氨氮</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0.949698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总镍</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0.0049668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val="en-US" w:eastAsia="zh-CN"/>
                    </w:rPr>
                    <w:t>VOCs</w:t>
                  </w:r>
                </w:p>
              </w:tc>
              <w:tc>
                <w:tcPr>
                  <w:tcW w:w="4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4.302197</w:t>
                  </w:r>
                </w:p>
              </w:tc>
            </w:tr>
          </w:tbl>
          <w:p>
            <w:pPr>
              <w:adjustRightInd w:val="0"/>
              <w:snapToGrid w:val="0"/>
              <w:spacing w:line="240" w:lineRule="auto"/>
              <w:jc w:val="center"/>
              <w:rPr>
                <w:rFonts w:ascii="Times New Roman" w:hAnsi="Times New Roman"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超标情况</w:t>
            </w:r>
          </w:p>
        </w:tc>
        <w:tc>
          <w:tcPr>
            <w:tcW w:w="6983" w:type="dxa"/>
            <w:gridSpan w:val="3"/>
            <w:vAlign w:val="center"/>
          </w:tcPr>
          <w:p>
            <w:pPr>
              <w:adjustRightInd w:val="0"/>
              <w:snapToGrid w:val="0"/>
              <w:spacing w:line="240" w:lineRule="auto"/>
              <w:jc w:val="center"/>
              <w:rPr>
                <w:rFonts w:hint="eastAsia" w:ascii="Times New Roman" w:hAnsi="Times New Roman" w:eastAsia="楷体"/>
                <w:sz w:val="24"/>
                <w:szCs w:val="24"/>
                <w:lang w:val="en-US" w:eastAsia="zh-CN"/>
              </w:rPr>
            </w:pPr>
            <w:r>
              <w:rPr>
                <w:rFonts w:hint="eastAsia" w:ascii="宋体" w:hAnsi="宋体" w:eastAsia="宋体" w:cs="宋体"/>
                <w:color w:val="auto"/>
                <w:sz w:val="24"/>
                <w:szCs w:val="24"/>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执行的污染物排放标准</w:t>
            </w:r>
          </w:p>
        </w:tc>
        <w:tc>
          <w:tcPr>
            <w:tcW w:w="6983"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废水：</w:t>
            </w:r>
            <w:r>
              <w:rPr>
                <w:rFonts w:hint="eastAsia" w:ascii="宋体" w:hAnsi="宋体" w:eastAsia="宋体" w:cs="宋体"/>
                <w:color w:val="auto"/>
                <w:sz w:val="24"/>
                <w:szCs w:val="24"/>
                <w:highlight w:val="none"/>
                <w:lang w:eastAsia="zh-CN" w:bidi="ar"/>
              </w:rPr>
              <w:t>《污水综合排放标准》（GB8978-1996)、合肥市经济技术开发区污水处理厂接管标准。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 xml:space="preserve">  废气：《大气污染物综合排放标准》（GB16297-1996）中表2新污染源二级排放标准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新能源乘用车分公司废气厂界二甲苯和VOCs浓度执行天津市地方标准《工业企业挥发性有机物排放控制标准》（DB12/524-2014）</w:t>
            </w:r>
            <w:r>
              <w:rPr>
                <w:rFonts w:hint="eastAsia" w:ascii="宋体" w:hAnsi="宋体" w:cs="宋体"/>
                <w:color w:val="auto"/>
                <w:sz w:val="24"/>
                <w:szCs w:val="24"/>
                <w:highlight w:val="no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bidi="ar"/>
              </w:rPr>
              <w:t>固废</w:t>
            </w:r>
            <w:r>
              <w:rPr>
                <w:rFonts w:hint="eastAsia" w:ascii="宋体" w:hAnsi="宋体" w:eastAsia="宋体" w:cs="宋体"/>
                <w:color w:val="auto"/>
                <w:sz w:val="24"/>
                <w:szCs w:val="24"/>
                <w:highlight w:val="none"/>
                <w:lang w:val="en-US" w:eastAsia="zh-CN" w:bidi="ar"/>
              </w:rPr>
              <w:t>：交由资质危险废弃物处置单位及工业固废处置单位处置。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val="en-US" w:eastAsia="zh-CN" w:bidi="ar"/>
              </w:rPr>
              <w:t>工业企业厂界环境噪声:《工业企业厂界环境噪声排放标准》（GB12348-2008）中三类标准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楷体"/>
                <w:sz w:val="24"/>
                <w:szCs w:val="24"/>
              </w:rPr>
            </w:pPr>
            <w:r>
              <w:rPr>
                <w:rFonts w:hint="eastAsia" w:ascii="宋体" w:hAnsi="宋体" w:eastAsia="宋体" w:cs="宋体"/>
                <w:color w:val="auto"/>
                <w:sz w:val="24"/>
                <w:szCs w:val="24"/>
                <w:highlight w:val="none"/>
                <w:lang w:val="en-US" w:eastAsia="zh-CN" w:bidi="ar"/>
              </w:rPr>
              <w:t xml:space="preserve">  土壤：</w:t>
            </w:r>
            <w:r>
              <w:rPr>
                <w:rFonts w:hint="default" w:ascii="Times New Roman" w:hAnsi="Times New Roman" w:eastAsia="宋体" w:cs="Times New Roman"/>
                <w:color w:val="auto"/>
                <w:sz w:val="24"/>
                <w:szCs w:val="24"/>
                <w:lang w:eastAsia="zh-CN"/>
              </w:rPr>
              <w:t>《土壤环境质量 建设用地土壤污染风险管控标准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试行</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GB36600-2018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lang w:eastAsia="zh-CN"/>
              </w:rPr>
              <w:t>第二类用地</w:t>
            </w:r>
            <w:r>
              <w:rPr>
                <w:rFonts w:hint="default" w:ascii="Times New Roman" w:hAnsi="Times New Roman" w:eastAsia="宋体" w:cs="Times New Roman"/>
                <w:color w:val="auto"/>
                <w:sz w:val="24"/>
              </w:rPr>
              <w:t>标准</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lang w:eastAsia="zh-CN"/>
              </w:rPr>
              <w:t>地下水质量</w:t>
            </w:r>
            <w:r>
              <w:rPr>
                <w:rFonts w:hint="eastAsia" w:ascii="Times New Roman" w:hAnsi="Times New Roman" w:eastAsia="宋体" w:cs="Times New Roman"/>
                <w:color w:val="auto"/>
                <w:sz w:val="24"/>
                <w:szCs w:val="24"/>
                <w:lang w:eastAsia="zh-CN"/>
              </w:rPr>
              <w:t>参照</w:t>
            </w:r>
            <w:r>
              <w:rPr>
                <w:rFonts w:hint="default" w:ascii="Times New Roman" w:hAnsi="Times New Roman" w:eastAsia="宋体" w:cs="Times New Roman"/>
                <w:color w:val="auto"/>
                <w:sz w:val="24"/>
                <w:szCs w:val="24"/>
                <w:lang w:eastAsia="zh-CN"/>
              </w:rPr>
              <w:t>执行</w:t>
            </w:r>
            <w:r>
              <w:rPr>
                <w:rFonts w:hint="default" w:ascii="Times New Roman" w:hAnsi="Times New Roman" w:eastAsia="宋体" w:cs="Times New Roman"/>
                <w:color w:val="auto"/>
                <w:sz w:val="24"/>
              </w:rPr>
              <w:t>《地下水质量标准》（GB/T14848-</w:t>
            </w:r>
            <w:r>
              <w:rPr>
                <w:rFonts w:hint="default" w:ascii="Times New Roman" w:hAnsi="Times New Roman" w:eastAsia="宋体" w:cs="Times New Roman"/>
                <w:color w:val="auto"/>
                <w:sz w:val="24"/>
                <w:lang w:val="en-US" w:eastAsia="zh-CN"/>
              </w:rPr>
              <w:t>2017</w:t>
            </w:r>
            <w:r>
              <w:rPr>
                <w:rFonts w:hint="default" w:ascii="Times New Roman" w:hAnsi="Times New Roman" w:eastAsia="宋体" w:cs="Times New Roman"/>
                <w:color w:val="auto"/>
                <w:sz w:val="24"/>
              </w:rPr>
              <w:t>）中Ⅲ类标准</w:t>
            </w:r>
            <w:r>
              <w:rPr>
                <w:rFonts w:hint="eastAsia" w:ascii="Times New Roman" w:hAnsi="Times New Roman" w:eastAsia="宋体"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核定的排放</w:t>
            </w:r>
          </w:p>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总量</w:t>
            </w:r>
          </w:p>
        </w:tc>
        <w:tc>
          <w:tcPr>
            <w:tcW w:w="6983" w:type="dxa"/>
            <w:gridSpan w:val="3"/>
            <w:vAlign w:val="center"/>
          </w:tcPr>
          <w:tbl>
            <w:tblPr>
              <w:tblStyle w:val="7"/>
              <w:tblW w:w="62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1"/>
              <w:gridCol w:w="1634"/>
              <w:gridCol w:w="4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污染物名称</w:t>
                  </w:r>
                </w:p>
              </w:tc>
              <w:tc>
                <w:tcPr>
                  <w:tcW w:w="4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color w:val="auto"/>
                      <w:kern w:val="0"/>
                      <w:sz w:val="24"/>
                      <w:szCs w:val="24"/>
                      <w:highlight w:val="none"/>
                    </w:rPr>
                  </w:pPr>
                  <w:r>
                    <w:rPr>
                      <w:rFonts w:hint="eastAsia" w:ascii="宋体" w:hAnsi="宋体" w:cs="宋体"/>
                      <w:b/>
                      <w:i w:val="0"/>
                      <w:color w:val="auto"/>
                      <w:kern w:val="0"/>
                      <w:sz w:val="24"/>
                      <w:szCs w:val="24"/>
                      <w:highlight w:val="none"/>
                      <w:u w:val="none"/>
                      <w:lang w:val="en-US" w:eastAsia="zh-CN"/>
                    </w:rPr>
                    <w:t>年度允许</w:t>
                  </w:r>
                  <w:r>
                    <w:rPr>
                      <w:rFonts w:hint="eastAsia" w:ascii="宋体" w:hAnsi="宋体" w:eastAsia="宋体" w:cs="宋体"/>
                      <w:b/>
                      <w:i w:val="0"/>
                      <w:color w:val="auto"/>
                      <w:kern w:val="0"/>
                      <w:sz w:val="24"/>
                      <w:szCs w:val="24"/>
                      <w:highlight w:val="none"/>
                      <w:u w:val="none"/>
                      <w:lang w:val="en-US" w:eastAsia="zh-CN"/>
                    </w:rPr>
                    <w:t>排放</w:t>
                  </w:r>
                  <w:r>
                    <w:rPr>
                      <w:rFonts w:hint="eastAsia" w:ascii="宋体" w:hAnsi="宋体" w:cs="宋体"/>
                      <w:b/>
                      <w:i w:val="0"/>
                      <w:color w:val="auto"/>
                      <w:kern w:val="0"/>
                      <w:sz w:val="24"/>
                      <w:szCs w:val="24"/>
                      <w:highlight w:val="none"/>
                      <w:u w:val="none"/>
                      <w:lang w:val="en-US" w:eastAsia="zh-CN"/>
                    </w:rPr>
                    <w:t>总</w:t>
                  </w:r>
                  <w:r>
                    <w:rPr>
                      <w:rFonts w:hint="eastAsia" w:ascii="宋体" w:hAnsi="宋体" w:eastAsia="宋体" w:cs="宋体"/>
                      <w:b/>
                      <w:i w:val="0"/>
                      <w:color w:val="auto"/>
                      <w:kern w:val="0"/>
                      <w:sz w:val="24"/>
                      <w:szCs w:val="24"/>
                      <w:highlight w:val="none"/>
                      <w:u w:val="none"/>
                      <w:lang w:val="en-US" w:eastAsia="zh-CN"/>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ascii="宋体" w:hAnsi="宋体" w:eastAsia="宋体" w:cs="宋体"/>
                      <w:sz w:val="21"/>
                      <w:szCs w:val="21"/>
                    </w:rPr>
                    <w:t>化学需氧量</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sz w:val="21"/>
                      <w:szCs w:val="21"/>
                      <w:lang w:val="en-US" w:eastAsia="zh-CN"/>
                    </w:rPr>
                  </w:pPr>
                  <w:r>
                    <w:rPr>
                      <w:rFonts w:ascii="宋体" w:hAnsi="宋体" w:eastAsia="宋体" w:cs="宋体"/>
                      <w:sz w:val="21"/>
                      <w:szCs w:val="21"/>
                    </w:rPr>
                    <w:t>78.35625069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ascii="宋体" w:hAnsi="宋体" w:eastAsia="宋体" w:cs="宋体"/>
                      <w:sz w:val="21"/>
                      <w:szCs w:val="21"/>
                    </w:rPr>
                    <w:t>总氮</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sz w:val="21"/>
                      <w:szCs w:val="21"/>
                      <w:lang w:val="en-US" w:eastAsia="zh-CN"/>
                    </w:rPr>
                  </w:pPr>
                  <w:r>
                    <w:rPr>
                      <w:rFonts w:ascii="宋体" w:hAnsi="宋体" w:eastAsia="宋体" w:cs="宋体"/>
                      <w:sz w:val="21"/>
                      <w:szCs w:val="21"/>
                    </w:rPr>
                    <w:t>10.31003299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ascii="宋体" w:hAnsi="宋体" w:eastAsia="宋体" w:cs="宋体"/>
                      <w:sz w:val="21"/>
                      <w:szCs w:val="21"/>
                    </w:rPr>
                    <w:t>磷酸盐</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sz w:val="21"/>
                      <w:szCs w:val="21"/>
                      <w:lang w:val="en-US" w:eastAsia="zh-CN"/>
                    </w:rPr>
                  </w:pPr>
                  <w:r>
                    <w:rPr>
                      <w:rFonts w:ascii="宋体" w:hAnsi="宋体" w:eastAsia="宋体" w:cs="宋体"/>
                      <w:sz w:val="21"/>
                      <w:szCs w:val="21"/>
                    </w:rPr>
                    <w:t>1.237203958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color w:val="auto"/>
                      <w:kern w:val="0"/>
                      <w:sz w:val="24"/>
                      <w:szCs w:val="24"/>
                      <w:highlight w:val="none"/>
                      <w:lang w:eastAsia="zh-CN"/>
                    </w:rPr>
                  </w:pPr>
                  <w:r>
                    <w:rPr>
                      <w:rFonts w:ascii="宋体" w:hAnsi="宋体" w:eastAsia="宋体" w:cs="宋体"/>
                      <w:sz w:val="21"/>
                      <w:szCs w:val="21"/>
                    </w:rPr>
                    <w:t>氨氮</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sz w:val="21"/>
                      <w:szCs w:val="21"/>
                      <w:lang w:val="en-US" w:eastAsia="zh-CN"/>
                    </w:rPr>
                  </w:pPr>
                  <w:r>
                    <w:rPr>
                      <w:rFonts w:ascii="宋体" w:hAnsi="宋体" w:eastAsia="宋体" w:cs="宋体"/>
                      <w:sz w:val="21"/>
                      <w:szCs w:val="21"/>
                    </w:rPr>
                    <w:t>7.21702309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总镍</w:t>
                  </w:r>
                </w:p>
              </w:tc>
              <w:tc>
                <w:tcPr>
                  <w:tcW w:w="4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rPr>
                      <w:rFonts w:ascii="宋体" w:hAnsi="宋体" w:eastAsia="宋体" w:cs="宋体"/>
                      <w:sz w:val="21"/>
                      <w:szCs w:val="21"/>
                    </w:rPr>
                  </w:pPr>
                  <w:r>
                    <w:rPr>
                      <w:rFonts w:ascii="宋体" w:hAnsi="宋体" w:eastAsia="宋体" w:cs="宋体"/>
                      <w:sz w:val="21"/>
                      <w:szCs w:val="21"/>
                    </w:rPr>
                    <w:t>0.0426994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0"/>
                      <w:sz w:val="24"/>
                      <w:szCs w:val="24"/>
                      <w:highlight w:val="none"/>
                      <w:lang w:eastAsia="zh-CN"/>
                    </w:rPr>
                  </w:pPr>
                  <w:r>
                    <w:rPr>
                      <w:rFonts w:ascii="宋体" w:hAnsi="宋体" w:eastAsia="宋体" w:cs="宋体"/>
                      <w:sz w:val="21"/>
                      <w:szCs w:val="21"/>
                    </w:rPr>
                    <w:t>VOCs</w:t>
                  </w:r>
                </w:p>
              </w:tc>
              <w:tc>
                <w:tcPr>
                  <w:tcW w:w="4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rPr>
                      <w:rFonts w:hint="eastAsia" w:ascii="宋体" w:hAnsi="宋体" w:eastAsia="宋体" w:cs="宋体"/>
                      <w:sz w:val="21"/>
                      <w:szCs w:val="21"/>
                      <w:lang w:val="en-US" w:eastAsia="zh-CN"/>
                    </w:rPr>
                  </w:pPr>
                  <w:r>
                    <w:rPr>
                      <w:rFonts w:ascii="宋体" w:hAnsi="宋体" w:eastAsia="宋体" w:cs="宋体"/>
                      <w:sz w:val="21"/>
                      <w:szCs w:val="21"/>
                    </w:rPr>
                    <w:t>1174.2335</w:t>
                  </w:r>
                </w:p>
              </w:tc>
            </w:tr>
          </w:tbl>
          <w:p>
            <w:pPr>
              <w:adjustRightInd w:val="0"/>
              <w:snapToGrid w:val="0"/>
              <w:spacing w:line="240" w:lineRule="auto"/>
              <w:jc w:val="center"/>
              <w:rPr>
                <w:rFonts w:ascii="Times New Roman" w:hAnsi="Times New Roman"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防治污染设施的建设情况</w:t>
            </w:r>
          </w:p>
        </w:tc>
        <w:tc>
          <w:tcPr>
            <w:tcW w:w="6983" w:type="dxa"/>
            <w:gridSpan w:val="3"/>
            <w:vAlign w:val="center"/>
          </w:tcPr>
          <w:p>
            <w:pPr>
              <w:pageBreakBefore w:val="0"/>
              <w:kinsoku/>
              <w:overflowPunct/>
              <w:topLinePunct w:val="0"/>
              <w:bidi w:val="0"/>
              <w:spacing w:beforeLines="0" w:afterLines="0" w:line="240" w:lineRule="auto"/>
              <w:ind w:right="0" w:rightChars="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轿车分</w:t>
            </w:r>
            <w:r>
              <w:rPr>
                <w:rFonts w:hint="eastAsia" w:ascii="宋体" w:hAnsi="宋体" w:eastAsia="宋体" w:cs="宋体"/>
                <w:color w:val="auto"/>
                <w:sz w:val="24"/>
                <w:szCs w:val="24"/>
                <w:highlight w:val="none"/>
                <w:lang w:val="en-US" w:eastAsia="zh-CN" w:bidi="ar"/>
              </w:rPr>
              <w:t>公司主要废水防治污染设施包括</w:t>
            </w:r>
            <w:r>
              <w:rPr>
                <w:rFonts w:hint="eastAsia" w:ascii="宋体" w:hAnsi="宋体" w:eastAsia="宋体" w:cs="宋体"/>
                <w:color w:val="auto"/>
                <w:sz w:val="24"/>
                <w:szCs w:val="24"/>
                <w:highlight w:val="none"/>
                <w:lang w:eastAsia="zh-CN" w:bidi="ar"/>
              </w:rPr>
              <w:t>冲压车间模具清洗水，涂装车间前处理设备连续排放的脱脂废水、电泳设备连续排放的电泳废水，前处理设备间歇排放的预脱脂废液、脱脂废液、磷化废液、电泳设备定期清洗排放的电泳废液、面漆喷漆室定期排放的喷漆废水，总装淋雨试验废水，全厂生活污水和各循环水系统的排污水。预处理采用物化</w:t>
            </w:r>
            <w:r>
              <w:rPr>
                <w:rFonts w:hint="eastAsia" w:ascii="宋体" w:hAnsi="宋体" w:eastAsia="宋体" w:cs="宋体"/>
                <w:color w:val="auto"/>
                <w:sz w:val="24"/>
                <w:szCs w:val="24"/>
                <w:highlight w:val="none"/>
                <w:lang w:val="en-US" w:eastAsia="zh-CN" w:bidi="ar"/>
              </w:rPr>
              <w:t>+生化</w:t>
            </w:r>
            <w:r>
              <w:rPr>
                <w:rFonts w:hint="eastAsia" w:ascii="宋体" w:hAnsi="宋体" w:eastAsia="宋体" w:cs="宋体"/>
                <w:color w:val="auto"/>
                <w:sz w:val="24"/>
                <w:szCs w:val="24"/>
                <w:highlight w:val="none"/>
                <w:lang w:eastAsia="zh-CN" w:bidi="ar"/>
              </w:rPr>
              <w:t>工艺，处理后和生活污水汇合采用SBR 工艺处理，处理后达到开发区污水处理厂接管标准、GB8978-1996《污水综合排放标准》中三级排放标准和《城市污水再生利用城市杂用水水质》（GB/T18920-20</w:t>
            </w:r>
            <w:r>
              <w:rPr>
                <w:rFonts w:hint="eastAsia" w:ascii="宋体" w:hAnsi="宋体" w:cs="宋体"/>
                <w:color w:val="auto"/>
                <w:sz w:val="24"/>
                <w:szCs w:val="24"/>
                <w:highlight w:val="none"/>
                <w:lang w:val="en-US" w:eastAsia="zh-CN" w:bidi="ar"/>
              </w:rPr>
              <w:t>20</w:t>
            </w:r>
            <w:r>
              <w:rPr>
                <w:rFonts w:hint="eastAsia" w:ascii="宋体" w:hAnsi="宋体" w:eastAsia="宋体" w:cs="宋体"/>
                <w:color w:val="auto"/>
                <w:sz w:val="24"/>
                <w:szCs w:val="24"/>
                <w:highlight w:val="none"/>
                <w:lang w:eastAsia="zh-CN" w:bidi="ar"/>
              </w:rPr>
              <w:t>）标准，部分回用于厂区绿化，部分排入市政污水管网。经经济技术开发区污水处理厂处理后，对派河水环境影响较小。</w:t>
            </w:r>
          </w:p>
          <w:p>
            <w:pPr>
              <w:pageBreakBefore w:val="0"/>
              <w:kinsoku/>
              <w:overflowPunct/>
              <w:topLinePunct w:val="0"/>
              <w:bidi w:val="0"/>
              <w:spacing w:beforeLines="0" w:afterLines="0" w:line="240" w:lineRule="auto"/>
              <w:ind w:right="0" w:rightChars="0"/>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 xml:space="preserve">    公司主要废气防治污染设施包括</w:t>
            </w:r>
            <w:r>
              <w:rPr>
                <w:rFonts w:hint="eastAsia" w:ascii="宋体" w:hAnsi="宋体" w:eastAsia="宋体" w:cs="宋体"/>
                <w:color w:val="auto"/>
                <w:sz w:val="24"/>
                <w:szCs w:val="24"/>
                <w:highlight w:val="none"/>
                <w:lang w:eastAsia="zh-CN" w:bidi="ar"/>
              </w:rPr>
              <w:t>焊接车间打磨工序产生的粉尘，焊接车间焊接工序产生的烟尘；涂装车间涂胶、喷漆、手工补漆等工序产生的二甲苯、VOCs 以及烘干过程产生的二甲苯、VOCs 等，烟尘主要采用滤筒过滤、涂装挥发性有机物采用热回收燃烧器处理、</w:t>
            </w:r>
            <w:r>
              <w:rPr>
                <w:rFonts w:hint="eastAsia" w:ascii="宋体" w:hAnsi="宋体" w:cs="宋体"/>
                <w:color w:val="auto"/>
                <w:sz w:val="24"/>
                <w:szCs w:val="24"/>
                <w:highlight w:val="none"/>
                <w:lang w:eastAsia="zh-CN" w:bidi="ar"/>
              </w:rPr>
              <w:t>循环风</w:t>
            </w:r>
            <w:r>
              <w:rPr>
                <w:rFonts w:hint="eastAsia" w:ascii="宋体" w:hAnsi="宋体" w:cs="宋体"/>
                <w:color w:val="auto"/>
                <w:sz w:val="24"/>
                <w:szCs w:val="24"/>
                <w:highlight w:val="none"/>
                <w:lang w:val="en-US" w:eastAsia="zh-CN" w:bidi="ar"/>
              </w:rPr>
              <w:t>+沸石转轮+RTO工艺，</w:t>
            </w:r>
            <w:r>
              <w:rPr>
                <w:rFonts w:hint="eastAsia" w:ascii="宋体" w:hAnsi="宋体" w:eastAsia="宋体" w:cs="宋体"/>
                <w:color w:val="auto"/>
                <w:sz w:val="24"/>
                <w:szCs w:val="24"/>
                <w:highlight w:val="none"/>
                <w:lang w:eastAsia="zh-CN" w:bidi="ar"/>
              </w:rPr>
              <w:t>总装汽车尾气自带三元催化有组织排放，各项排放指标受控。</w:t>
            </w:r>
          </w:p>
          <w:p>
            <w:pPr>
              <w:pageBreakBefore w:val="0"/>
              <w:kinsoku/>
              <w:overflowPunct/>
              <w:topLinePunct w:val="0"/>
              <w:bidi w:val="0"/>
              <w:spacing w:beforeLines="0" w:afterLines="0" w:line="240" w:lineRule="auto"/>
              <w:ind w:right="0" w:rightChars="0"/>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bidi="ar"/>
              </w:rPr>
              <w:t>公司产生的噪声主要为冲压车间压力机产生的噪声、涂装车间风机、总装车间下线及检测处、空压站空压机、循环水系统冷却塔、短试车跑道等高噪声设备冲压车间压力机选用低噪声、振动小的设备，设备基础安装减振器，冲压线全封闭。涂装车间增压风机设置单独密闭风机房；送排风机选用低噪声、振动小的设备，放置在车间内并设置风机房。总装车间选用低噪声设备，安装减振基座。空压站选用低噪声设备，主体采用减振基础，吸气口加装消声器，储气缸涂阻尼吸声材料；循环水泵设于单独站房内，水管连接采用柔性接头；制冷机组设置在站房内。短试车跑道设在拟建工程厂区中部，采用改良SMA 沥青路面，比普通路面有3dB(A)以上的降噪作用。采取以上措施后，并综合考虑建筑隔声、厂区绿化以及距离衰减等因素</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eastAsia="zh-CN" w:bidi="ar"/>
              </w:rPr>
              <w:t>厂界噪声均可达到《工业企业厂界环境噪声排放标准（GB12348-2008）3 类昼、夜间标准，整体受控。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imes New Roman" w:hAnsi="Times New Roman" w:eastAsia="楷体"/>
                <w:sz w:val="24"/>
                <w:szCs w:val="24"/>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rPr>
              <w:t>公司地下水和土壤治理措施主要有在生产车间喷漆工段、前处理工段做重点防渗防漏，使用环氧胶泥嵌缝，其渗透系数要求达到《危险废物贮存污染控制标准》要求，减少对项目区地下水和土壤的影响；对厂区的污水管网做好防渗和防漏措施；做好定期监测：以厂区为重点，兼顾外围。采取以上地下水防治措施后，能够保证运营期产生的污染物对地下水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防治污染设施的运行情况</w:t>
            </w:r>
          </w:p>
        </w:tc>
        <w:tc>
          <w:tcPr>
            <w:tcW w:w="6983" w:type="dxa"/>
            <w:gridSpan w:val="3"/>
            <w:vAlign w:val="center"/>
          </w:tcPr>
          <w:p>
            <w:pPr>
              <w:adjustRightInd w:val="0"/>
              <w:snapToGrid w:val="0"/>
              <w:spacing w:line="240" w:lineRule="auto"/>
              <w:jc w:val="center"/>
              <w:rPr>
                <w:rFonts w:hint="eastAsia" w:ascii="Times New Roman" w:hAnsi="Times New Roman" w:eastAsia="楷体"/>
                <w:sz w:val="24"/>
                <w:szCs w:val="24"/>
                <w:lang w:eastAsia="zh-CN"/>
              </w:rPr>
            </w:pPr>
            <w:r>
              <w:rPr>
                <w:rFonts w:hint="eastAsia" w:ascii="宋体" w:hAnsi="宋体" w:eastAsia="宋体" w:cs="宋体"/>
                <w:color w:val="auto"/>
                <w:sz w:val="24"/>
                <w:szCs w:val="24"/>
                <w:highlight w:val="none"/>
                <w:lang w:eastAsia="zh-CN"/>
              </w:rPr>
              <w:t>污染治理设施正常运行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建设项目环境影响评价</w:t>
            </w:r>
          </w:p>
        </w:tc>
        <w:tc>
          <w:tcPr>
            <w:tcW w:w="6983"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轿车分公司自 2005 年起陆续实施了“年产 3 万辆运动型多功能车投资项目”、“年产 5 万辆轿车项目”、“年产 6 万辆小型多功能 乘用车项目”、“年产 10 万辆 A 级系列轿车项目”、“经济型轿车新车型模夹具投资项目”，建设了冲压、焊装、涂装、总装生产线及公共设施。具备年产 24 万辆汽车整车的综合生产能力。2005 年国家环境保护总局对《关于安徽江淮汽车股份有限公司年产 3 万辆 运动型多功能车投资项目环境影响报告书》提出审查意见（环审〔2005〕516 号）；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2005 年 12 月国家环境保护总局下发《关于安徽江淮汽车股份有限公司年 产 5 万辆轿车项目环境影响报告书的批复》（环审〔2005〕988 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2008 年中国环境监测总站编制《安徽江淮汽车股份有限公司年产 3 万辆运 动型多功能车暨年产 5 万辆轿车项目竣工环境保护验收监测报告》（总站环监 字〔2008〕第 049 号），2008 年 7 月中华人民共和国环境保护部下发《关于安 徽江淮汽车股份有限公司年产 3 万辆运动型多功能车暨年产 5 万辆轿车项目竣 工环境保护验收意见的函》（环验〔2008〕109 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2007 年 6 月国家环境保护总局下发《关于安徽江淮汽车股份有限公司年产 6 万辆小型多功能乘用车项目环境影响报告书的批复》（环审〔2007〕230 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2009 年中国环境监测总站编制《安徽江淮汽车股份有限公司年产 6 万辆小 型多功能乘用车项目竣工环境保护验收监测报告》（总站环监字〔2009〕第 125 号），2010 年 4 月中华人民共和国环境保护部下发《安徽江淮汽车股份有限公 司年产 6 万辆小型多功能乘用车项目竣工环境保护验收意见的函》（环验〔2010〕 88 号）；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2008 年安徽省环境总局下发《关于江淮汽车股份有限公司年产 10 万辆 A 级系列轿车项目环评报告书的批复》（环评函〔2008〕754 号）；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2008 年 9 月安徽省环境保护局下发《关于江淮汽车股份有限公司经济型轿车新车型模夹具投资项目环境影响报告书的批复》（环评函〔2008〕933 号）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楷体"/>
                <w:sz w:val="24"/>
                <w:szCs w:val="24"/>
              </w:rPr>
            </w:pPr>
            <w:r>
              <w:rPr>
                <w:rFonts w:hint="eastAsia" w:ascii="宋体" w:hAnsi="宋体" w:eastAsia="宋体" w:cs="宋体"/>
                <w:b w:val="0"/>
                <w:bCs w:val="0"/>
                <w:color w:val="auto"/>
                <w:kern w:val="0"/>
                <w:sz w:val="24"/>
                <w:szCs w:val="24"/>
                <w:highlight w:val="none"/>
                <w:lang w:val="en-US" w:eastAsia="zh-CN"/>
              </w:rPr>
              <w:t>2010 年安徽省环境监测中心站编制《安徽江淮汽车股份有限公司年产 10 万辆 A 级系列轿车项目竣工环境保护验收监测报告》（环监验〔2009〕65 号）、 《安徽江淮汽车股份有限公司经济型轿车新车型模夹具投资项目竣工环保验收 监测报告》（环监验〔2009〕66 号），2010 年 3 月安徽省坏境保护厅下发《安 徽江淮汽车股份有限公司年产 10 万辆 A 级系列轿车项目、安徽江淮汽车股份 有限公司经济型轿车新车型模夹具投资项目竣工环境保护验收意见的函》（环 评函〔2010〕237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其他环境保护行政许可情况</w:t>
            </w:r>
          </w:p>
        </w:tc>
        <w:tc>
          <w:tcPr>
            <w:tcW w:w="6983" w:type="dxa"/>
            <w:gridSpan w:val="3"/>
            <w:vAlign w:val="center"/>
          </w:tcPr>
          <w:p>
            <w:pPr>
              <w:adjustRightInd w:val="0"/>
              <w:snapToGrid w:val="0"/>
              <w:spacing w:line="240" w:lineRule="auto"/>
              <w:jc w:val="center"/>
              <w:rPr>
                <w:rFonts w:hint="eastAsia" w:ascii="Times New Roman" w:hAnsi="Times New Roman" w:eastAsia="楷体"/>
                <w:sz w:val="24"/>
                <w:szCs w:val="24"/>
                <w:lang w:eastAsia="zh-CN"/>
              </w:rPr>
            </w:pPr>
            <w:r>
              <w:rPr>
                <w:rFonts w:hint="eastAsia" w:ascii="宋体" w:hAnsi="宋体" w:eastAsia="宋体" w:cs="宋体"/>
                <w:b w:val="0"/>
                <w:bCs w:val="0"/>
                <w:color w:val="auto"/>
                <w:kern w:val="0"/>
                <w:sz w:val="24"/>
                <w:szCs w:val="24"/>
                <w:highlight w:val="none"/>
                <w:lang w:val="en-US" w:eastAsia="zh-CN"/>
              </w:rPr>
              <w:t>排污许可证91340000670941897L001V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983"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1" w:firstLineChars="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轿车分公司根据《企业事业单位突发环境事件应急预案备案管理办法（试行）》第十二条企业结合环境应急预案实施情况，至少每三年对环境应急预案进行一次回顾性评估。基于原二厂移交大众后，重新评估风险等级为：一般（一般/大气Q0+一般/水Q1-M1-E2），完成生态环境部门备案。根据释放环境风险物质的扩散途径、涉及环境风险防控与应急措施、应急资源情况分析、突发环境事件风险等级规范应急处置程序</w:t>
            </w:r>
            <w:r>
              <w:rPr>
                <w:rFonts w:hint="eastAsia" w:ascii="宋体" w:hAnsi="宋体" w:eastAsia="宋体" w:cs="宋体"/>
                <w:color w:val="auto"/>
                <w:kern w:val="2"/>
                <w:sz w:val="24"/>
                <w:szCs w:val="24"/>
                <w:highlight w:val="none"/>
                <w:lang w:val="en-US" w:eastAsia="zh-CN"/>
              </w:rPr>
              <w:t>。</w:t>
            </w:r>
          </w:p>
          <w:p>
            <w:pPr>
              <w:pageBreakBefore w:val="0"/>
              <w:kinsoku/>
              <w:wordWrap/>
              <w:overflowPunct/>
              <w:topLinePunct w:val="0"/>
              <w:autoSpaceDE/>
              <w:bidi w:val="0"/>
              <w:adjustRightInd w:val="0"/>
              <w:snapToGrid w:val="0"/>
              <w:spacing w:line="240" w:lineRule="auto"/>
              <w:ind w:left="0" w:leftChars="0" w:right="0" w:rightChars="0"/>
              <w:jc w:val="left"/>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为落实习近平总书记精准治污、科学治污、依法治污的重要批示精神，积极有效应对重污染天气，生态环境部印发了《重污染天气重点行业应急减排措施制定技术指南（2020年修订版）》（环办大气函〔2020〕340号））》、《重污染天气重点行业移动源应急管理技术指南（试行）》，细化重点行业绩效分级指标，强化移动源应急管理，并配套制定了《重污染天气重点行业绩效分级实施细则》。</w:t>
            </w:r>
          </w:p>
          <w:p>
            <w:pPr>
              <w:keepNext w:val="0"/>
              <w:keepLines w:val="0"/>
              <w:pageBreakBefore w:val="0"/>
              <w:kinsoku/>
              <w:wordWrap/>
              <w:overflowPunct/>
              <w:topLinePunct w:val="0"/>
              <w:bidi w:val="0"/>
              <w:adjustRightInd/>
              <w:snapToGrid/>
              <w:spacing w:beforeLines="0" w:afterLines="0" w:line="240" w:lineRule="auto"/>
              <w:ind w:left="0" w:leftChars="0" w:right="0" w:rightChars="0" w:firstLine="481"/>
              <w:jc w:val="left"/>
              <w:textAlignment w:val="auto"/>
              <w:outlineLvl w:val="9"/>
              <w:rPr>
                <w:rFonts w:ascii="Times New Roman" w:hAnsi="Times New Roman" w:eastAsia="楷体"/>
                <w:sz w:val="24"/>
                <w:szCs w:val="24"/>
              </w:rPr>
            </w:pPr>
            <w:bookmarkStart w:id="0" w:name="_Toc27716"/>
            <w:bookmarkStart w:id="1" w:name="_Toc15377"/>
            <w:bookmarkStart w:id="2" w:name="_Toc11578"/>
            <w:bookmarkStart w:id="3" w:name="_Toc7483"/>
            <w:bookmarkStart w:id="4" w:name="_Toc19850"/>
            <w:r>
              <w:rPr>
                <w:rFonts w:hint="eastAsia" w:ascii="宋体" w:hAnsi="宋体" w:eastAsia="宋体" w:cs="宋体"/>
                <w:color w:val="auto"/>
                <w:kern w:val="2"/>
                <w:sz w:val="24"/>
                <w:szCs w:val="24"/>
                <w:highlight w:val="none"/>
                <w:lang w:val="en-US" w:eastAsia="zh-CN" w:bidi="ar-SA"/>
              </w:rPr>
              <w:t xml:space="preserve"> 根据安徽省生态环境厅关于征求重污染天气重点行业绩效评级（2021年第一批）评价结果，我司厂内运输车使用未达到B级要求；</w:t>
            </w:r>
            <w:bookmarkStart w:id="5" w:name="_Toc13608"/>
            <w:bookmarkStart w:id="6" w:name="_Toc14876"/>
            <w:bookmarkEnd w:id="0"/>
            <w:bookmarkEnd w:id="1"/>
            <w:bookmarkEnd w:id="2"/>
            <w:bookmarkEnd w:id="3"/>
            <w:bookmarkEnd w:id="4"/>
            <w:r>
              <w:rPr>
                <w:rFonts w:hint="eastAsia" w:ascii="宋体" w:hAnsi="宋体" w:eastAsia="宋体" w:cs="宋体"/>
                <w:color w:val="auto"/>
                <w:kern w:val="2"/>
                <w:sz w:val="24"/>
                <w:szCs w:val="24"/>
                <w:highlight w:val="none"/>
                <w:lang w:val="en-US" w:eastAsia="zh-CN" w:bidi="ar-SA"/>
              </w:rPr>
              <w:t>根据安徽省生态环境厅《关于开展2021年第二批重污染染天气重点行业绩效分级省级评审（非水泥行业）的通知》，轿车分公司申报B级企业参与汇报与评审，主要包括装备水平、生产工艺、原辅材料、污染治理技术、污染物排放限值、有组织排放控制、无组织排放控制、监测监控水平、环境管理水平、运输方式、运输监管等。省厅专家现场评审通过，生态环境厅官网已发布，将落实B级企业绩效落实。</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088" w:type="dxa"/>
            <w:vAlign w:val="center"/>
          </w:tcPr>
          <w:p>
            <w:pPr>
              <w:adjustRightInd w:val="0"/>
              <w:snapToGrid w:val="0"/>
              <w:spacing w:line="240" w:lineRule="auto"/>
              <w:jc w:val="center"/>
              <w:rPr>
                <w:rFonts w:ascii="Times New Roman" w:hAnsi="Times New Roman"/>
                <w:b/>
                <w:sz w:val="24"/>
                <w:szCs w:val="24"/>
              </w:rPr>
            </w:pPr>
            <w:r>
              <w:rPr>
                <w:rFonts w:ascii="Times New Roman" w:hAnsi="Times New Roman"/>
                <w:b/>
                <w:sz w:val="24"/>
                <w:szCs w:val="24"/>
              </w:rPr>
              <w:t>其他应当公开的环境信息</w:t>
            </w:r>
          </w:p>
        </w:tc>
        <w:tc>
          <w:tcPr>
            <w:tcW w:w="6983"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依据《HJ819-2017排污单位自行监测技术指南》及环评批复，结合排污许可证监测污染物及频次要求，编制《2021年安徽江淮汽车集团股份有限公司轿车分公司自行监测方案》并通过合肥市生态环境局审核，采用自动监测+CMA优质单位手工监测，监测结果开展合规性评价并在《安徽省排污单位自行监测信息发布平台》予以公示，与排污许可证全国平台链接。</w:t>
            </w:r>
          </w:p>
          <w:p>
            <w:pPr>
              <w:pageBreakBefore w:val="0"/>
              <w:kinsoku/>
              <w:wordWrap/>
              <w:overflowPunct/>
              <w:topLinePunct w:val="0"/>
              <w:autoSpaceDE/>
              <w:bidi w:val="0"/>
              <w:adjustRightInd w:val="0"/>
              <w:snapToGrid w:val="0"/>
              <w:spacing w:line="240" w:lineRule="auto"/>
              <w:ind w:left="0" w:leftChars="0" w:right="0" w:rightChars="0" w:firstLine="420"/>
              <w:jc w:val="left"/>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省生态环境厅印发《2020年度企业环境信用评价工作通知》，轿车分公司纳入省级评价。2021年5月份完成评价系统的全面申报于自评，7月27日区/市评价打分均获得满分，安徽省生态环境厅8月3日发布《关于2020年度安徽省企业环境信用评价初评结果的公示》，轿车分公司获得诚信企业称号。</w:t>
            </w:r>
          </w:p>
          <w:p>
            <w:pPr>
              <w:pageBreakBefore w:val="0"/>
              <w:kinsoku/>
              <w:wordWrap/>
              <w:overflowPunct/>
              <w:topLinePunct w:val="0"/>
              <w:autoSpaceDE/>
              <w:bidi w:val="0"/>
              <w:adjustRightInd w:val="0"/>
              <w:snapToGrid w:val="0"/>
              <w:spacing w:line="240" w:lineRule="auto"/>
              <w:ind w:left="0" w:leftChars="0" w:right="0" w:rightChars="0" w:firstLine="420"/>
              <w:jc w:val="left"/>
              <w:outlineLvl w:val="2"/>
            </w:pPr>
            <w:r>
              <w:rPr>
                <w:rFonts w:hint="eastAsia" w:ascii="宋体" w:hAnsi="宋体" w:eastAsia="宋体" w:cs="宋体"/>
                <w:color w:val="auto"/>
                <w:kern w:val="2"/>
                <w:sz w:val="24"/>
                <w:szCs w:val="24"/>
                <w:highlight w:val="none"/>
                <w:lang w:val="en-US" w:eastAsia="zh-CN" w:bidi="ar-SA"/>
              </w:rPr>
              <w:t>公司均按要求在公司官网（http://www.jac.com.cn/）公开环境监测信息，并在《安徽省排污单位自行监测信息发布平台》http://112.27.211.30:8081/login?backToUrl=http%3A%2F%2F112.27.211.30%3A8081%2Fmanagement公示,接受社会的监督。</w:t>
            </w:r>
          </w:p>
        </w:tc>
      </w:tr>
    </w:tbl>
    <w:p>
      <w:pPr>
        <w:adjustRightInd w:val="0"/>
        <w:snapToGrid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Noto Sans CJK JP Regular">
    <w:altName w:val="Arial"/>
    <w:panose1 w:val="00000000000000000000"/>
    <w:charset w:val="00"/>
    <w:family w:val="auto"/>
    <w:pitch w:val="default"/>
    <w:sig w:usb0="00000000" w:usb1="00000000" w:usb2="00000000" w:usb3="00000000" w:csb0="00040001" w:csb1="00000000"/>
  </w:font>
  <w:font w:name="Calibri">
    <w:panose1 w:val="020F0502020204030204"/>
    <w:charset w:val="86"/>
    <w:family w:val="auto"/>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QUMKEH+ËÎÌå">
    <w:altName w:val="黑体"/>
    <w:panose1 w:val="02010600030101010101"/>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ans serif">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p-quote">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anticon">
    <w:altName w:val="Segoe Print"/>
    <w:panose1 w:val="00000000000000000000"/>
    <w:charset w:val="00"/>
    <w:family w:val="auto"/>
    <w:pitch w:val="default"/>
    <w:sig w:usb0="00000000" w:usb1="00000000" w:usb2="00000000" w:usb3="00000000" w:csb0="00000000" w:csb1="00000000"/>
  </w:font>
  <w:font w:name="icon-coms02">
    <w:altName w:val="Segoe Print"/>
    <w:panose1 w:val="00000000000000000000"/>
    <w:charset w:val="00"/>
    <w:family w:val="auto"/>
    <w:pitch w:val="default"/>
    <w:sig w:usb0="00000000" w:usb1="00000000" w:usb2="00000000" w:usb3="00000000" w:csb0="00000000" w:csb1="00000000"/>
  </w:font>
  <w:font w:name="menu">
    <w:altName w:val="Segoe Print"/>
    <w:panose1 w:val="00000000000000000000"/>
    <w:charset w:val="00"/>
    <w:family w:val="auto"/>
    <w:pitch w:val="default"/>
    <w:sig w:usb0="00000000" w:usb1="00000000" w:usb2="00000000" w:usb3="00000000" w:csb0="00000000" w:csb1="00000000"/>
  </w:font>
  <w:font w:name="slick">
    <w:altName w:val="Segoe Print"/>
    <w:panose1 w:val="00000000000000000000"/>
    <w:charset w:val="00"/>
    <w:family w:val="auto"/>
    <w:pitch w:val="default"/>
    <w:sig w:usb0="00000000" w:usb1="00000000" w:usb2="00000000" w:usb3="00000000" w:csb0="00000000" w:csb1="00000000"/>
  </w:font>
  <w:font w:name="icon-coms">
    <w:altName w:val="Segoe Print"/>
    <w:panose1 w:val="00000000000000000000"/>
    <w:charset w:val="00"/>
    <w:family w:val="auto"/>
    <w:pitch w:val="default"/>
    <w:sig w:usb0="00000000" w:usb1="00000000" w:usb2="00000000" w:usb3="00000000" w:csb0="00000000" w:csb1="00000000"/>
  </w:font>
  <w:font w:name="icon-portal">
    <w:altName w:val="Segoe Print"/>
    <w:panose1 w:val="00000000000000000000"/>
    <w:charset w:val="00"/>
    <w:family w:val="auto"/>
    <w:pitch w:val="default"/>
    <w:sig w:usb0="00000000" w:usb1="00000000" w:usb2="00000000" w:usb3="00000000" w:csb0="00000000" w:csb1="00000000"/>
  </w:font>
  <w:font w:name="icon-dev">
    <w:altName w:val="Segoe Print"/>
    <w:panose1 w:val="00000000000000000000"/>
    <w:charset w:val="00"/>
    <w:family w:val="auto"/>
    <w:pitch w:val="default"/>
    <w:sig w:usb0="00000000" w:usb1="00000000" w:usb2="00000000" w:usb3="00000000" w:csb0="00000000" w:csb1="00000000"/>
  </w:font>
  <w:font w:name="wevicon">
    <w:altName w:val="Segoe Print"/>
    <w:panose1 w:val="00000000000000000000"/>
    <w:charset w:val="00"/>
    <w:family w:val="auto"/>
    <w:pitch w:val="default"/>
    <w:sig w:usb0="00000000" w:usb1="00000000" w:usb2="00000000" w:usb3="00000000" w:csb0="00000000" w:csb1="00000000"/>
  </w:font>
  <w:font w:name="icon-doc">
    <w:altName w:val="Segoe Print"/>
    <w:panose1 w:val="00000000000000000000"/>
    <w:charset w:val="00"/>
    <w:family w:val="auto"/>
    <w:pitch w:val="default"/>
    <w:sig w:usb0="00000000" w:usb1="00000000" w:usb2="00000000" w:usb3="00000000" w:csb0="00000000" w:csb1="00000000"/>
  </w:font>
  <w:font w:name="icon-menu">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Droid Sans Mono">
    <w:altName w:val="宋体"/>
    <w:panose1 w:val="00000000000000000000"/>
    <w:charset w:val="86"/>
    <w:family w:val="modern"/>
    <w:pitch w:val="default"/>
    <w:sig w:usb0="00000000" w:usb1="00000000" w:usb2="00000038" w:usb3="00000000" w:csb0="0004019F" w:csb1="00000000"/>
  </w:font>
  <w:font w:name="等线">
    <w:altName w:val="AMGD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294D3C"/>
    <w:rsid w:val="002C742A"/>
    <w:rsid w:val="007E3055"/>
    <w:rsid w:val="00AE5FD7"/>
    <w:rsid w:val="00C1640C"/>
    <w:rsid w:val="00C96AFE"/>
    <w:rsid w:val="00F53C76"/>
    <w:rsid w:val="02614312"/>
    <w:rsid w:val="15C33941"/>
    <w:rsid w:val="19BA69A1"/>
    <w:rsid w:val="1D092BCD"/>
    <w:rsid w:val="25657535"/>
    <w:rsid w:val="2B8F5B39"/>
    <w:rsid w:val="3B935C6C"/>
    <w:rsid w:val="43372865"/>
    <w:rsid w:val="6B110C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widowControl w:val="0"/>
      <w:autoSpaceDE w:val="0"/>
      <w:autoSpaceDN w:val="0"/>
    </w:pPr>
    <w:rPr>
      <w:rFonts w:ascii="Noto Sans CJK JP Regular" w:hAnsi="Noto Sans CJK JP Regular" w:eastAsia="Noto Sans CJK JP Regular" w:cs="Noto Sans CJK JP Regular"/>
      <w:szCs w:val="21"/>
      <w:lang w:val="zh-CN" w:bidi="zh-CN"/>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unhideWhenUsed/>
    <w:qFormat/>
    <w:uiPriority w:val="99"/>
    <w:pPr>
      <w:ind w:left="480" w:leftChars="200"/>
    </w:pPr>
  </w:style>
  <w:style w:type="paragraph" w:customStyle="1" w:styleId="10">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11">
    <w:name w:val="正文_32"/>
    <w:qFormat/>
    <w:uiPriority w:val="0"/>
    <w:pPr>
      <w:widowControl w:val="0"/>
      <w:jc w:val="both"/>
    </w:pPr>
    <w:rPr>
      <w:rFonts w:ascii="Calibri" w:hAnsi="Calibri" w:eastAsia="宋体" w:cs="Times New Roman"/>
      <w:kern w:val="2"/>
      <w:sz w:val="21"/>
      <w:lang w:val="en-US" w:eastAsia="zh-CN" w:bidi="ar-SA"/>
    </w:rPr>
  </w:style>
  <w:style w:type="character" w:customStyle="1" w:styleId="12">
    <w:name w:val="页眉 Char"/>
    <w:basedOn w:val="6"/>
    <w:link w:val="5"/>
    <w:qFormat/>
    <w:uiPriority w:val="0"/>
    <w:rPr>
      <w:rFonts w:ascii="Calibri" w:hAnsi="Calibri" w:eastAsia="宋体" w:cs="Times New Roman"/>
      <w:kern w:val="2"/>
      <w:sz w:val="18"/>
      <w:szCs w:val="18"/>
    </w:rPr>
  </w:style>
  <w:style w:type="character" w:customStyle="1" w:styleId="13">
    <w:name w:val="页脚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42</Words>
  <Characters>242</Characters>
  <Lines>2</Lines>
  <Paragraphs>1</Paragraphs>
  <ScaleCrop>false</ScaleCrop>
  <LinksUpToDate>false</LinksUpToDate>
  <CharactersWithSpaces>283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2021-05-13T06:24:00Z</dcterms:created>
  <dc:creator>Administrator</dc:creator>
  <cp:lastModifiedBy>笪睿</cp:lastModifiedBy>
  <cp:lastPrinted>2022-03-17T00:17:09Z</cp:lastPrinted>
  <dcterms:modified xsi:type="dcterms:W3CDTF">2022-03-17T00:17:15Z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