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1F" w:rsidRDefault="009E2C03">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rsidR="000C671F" w:rsidRDefault="009E2C03">
      <w:pPr>
        <w:adjustRightInd w:val="0"/>
        <w:snapToGrid w:val="0"/>
        <w:jc w:val="center"/>
        <w:rPr>
          <w:rFonts w:ascii="仿宋" w:eastAsia="仿宋" w:hAnsi="仿宋" w:cs="仿宋"/>
          <w:b/>
          <w:sz w:val="36"/>
          <w:szCs w:val="36"/>
        </w:rPr>
      </w:pPr>
      <w:r>
        <w:rPr>
          <w:rFonts w:ascii="仿宋" w:eastAsia="仿宋" w:hAnsi="仿宋" w:cs="仿宋" w:hint="eastAsia"/>
          <w:b/>
          <w:sz w:val="36"/>
          <w:szCs w:val="36"/>
        </w:rPr>
        <w:t>（</w:t>
      </w:r>
      <w:r>
        <w:rPr>
          <w:rFonts w:ascii="仿宋" w:eastAsia="仿宋" w:hAnsi="仿宋" w:cs="仿宋" w:hint="eastAsia"/>
          <w:b/>
          <w:sz w:val="36"/>
          <w:szCs w:val="36"/>
        </w:rPr>
        <w:t>2021</w:t>
      </w:r>
      <w:r>
        <w:rPr>
          <w:rFonts w:ascii="仿宋" w:eastAsia="仿宋" w:hAnsi="仿宋" w:cs="仿宋" w:hint="eastAsia"/>
          <w:b/>
          <w:sz w:val="36"/>
          <w:szCs w:val="36"/>
        </w:rPr>
        <w:t>年度）</w:t>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782"/>
        <w:gridCol w:w="2138"/>
        <w:gridCol w:w="1781"/>
      </w:tblGrid>
      <w:tr w:rsidR="000C671F" w:rsidTr="009E2C03">
        <w:trPr>
          <w:trHeight w:val="513"/>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企业名称</w:t>
            </w:r>
          </w:p>
        </w:tc>
        <w:tc>
          <w:tcPr>
            <w:tcW w:w="2782" w:type="dxa"/>
            <w:shd w:val="clear" w:color="auto" w:fill="auto"/>
            <w:vAlign w:val="center"/>
          </w:tcPr>
          <w:p w:rsidR="000C671F" w:rsidRPr="009E2C03" w:rsidRDefault="009E2C03" w:rsidP="009E2C03">
            <w:pPr>
              <w:adjustRightInd w:val="0"/>
              <w:snapToGrid w:val="0"/>
              <w:jc w:val="center"/>
              <w:rPr>
                <w:rFonts w:ascii="楷体" w:eastAsia="楷体" w:hAnsi="楷体" w:cs="楷体"/>
                <w:sz w:val="24"/>
                <w:szCs w:val="24"/>
              </w:rPr>
            </w:pPr>
            <w:r w:rsidRPr="009E2C03">
              <w:rPr>
                <w:rFonts w:ascii="楷体" w:eastAsia="楷体" w:hAnsi="楷体" w:cs="楷体" w:hint="eastAsia"/>
                <w:sz w:val="24"/>
                <w:szCs w:val="24"/>
              </w:rPr>
              <w:t>安徽江淮汽车集团股份有限公司发动机分公司</w:t>
            </w:r>
          </w:p>
        </w:tc>
        <w:tc>
          <w:tcPr>
            <w:tcW w:w="2138" w:type="dxa"/>
            <w:shd w:val="clear" w:color="auto" w:fill="auto"/>
            <w:vAlign w:val="center"/>
          </w:tcPr>
          <w:p w:rsidR="000C671F" w:rsidRPr="009E2C03" w:rsidRDefault="009E2C03" w:rsidP="009E2C03">
            <w:pPr>
              <w:adjustRightInd w:val="0"/>
              <w:snapToGrid w:val="0"/>
              <w:rPr>
                <w:rFonts w:ascii="Times New Roman" w:hAnsi="Times New Roman"/>
                <w:b/>
                <w:sz w:val="24"/>
                <w:szCs w:val="24"/>
              </w:rPr>
            </w:pPr>
            <w:r w:rsidRPr="009E2C03">
              <w:rPr>
                <w:rFonts w:ascii="Times New Roman" w:hAnsi="Times New Roman" w:hint="eastAsia"/>
                <w:b/>
                <w:sz w:val="24"/>
                <w:szCs w:val="24"/>
              </w:rPr>
              <w:t>统一社会信用代码</w:t>
            </w:r>
          </w:p>
        </w:tc>
        <w:tc>
          <w:tcPr>
            <w:tcW w:w="1781" w:type="dxa"/>
            <w:shd w:val="clear" w:color="auto" w:fill="auto"/>
            <w:vAlign w:val="center"/>
          </w:tcPr>
          <w:p w:rsidR="000C671F" w:rsidRPr="009E2C03" w:rsidRDefault="009E2C03" w:rsidP="009E2C03">
            <w:pPr>
              <w:adjustRightInd w:val="0"/>
              <w:snapToGrid w:val="0"/>
              <w:jc w:val="center"/>
              <w:rPr>
                <w:rFonts w:ascii="Times New Roman" w:hAnsi="Times New Roman"/>
                <w:sz w:val="24"/>
                <w:szCs w:val="24"/>
              </w:rPr>
            </w:pPr>
            <w:r w:rsidRPr="009E2C03">
              <w:rPr>
                <w:rFonts w:ascii="Times New Roman" w:hAnsi="Times New Roman" w:hint="eastAsia"/>
                <w:sz w:val="24"/>
                <w:szCs w:val="24"/>
              </w:rPr>
              <w:t>913400007585409759</w:t>
            </w:r>
          </w:p>
        </w:tc>
      </w:tr>
      <w:tr w:rsidR="000C671F" w:rsidTr="009E2C03">
        <w:trPr>
          <w:trHeight w:val="439"/>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法定代表人</w:t>
            </w:r>
          </w:p>
        </w:tc>
        <w:tc>
          <w:tcPr>
            <w:tcW w:w="2782" w:type="dxa"/>
            <w:shd w:val="clear" w:color="auto" w:fill="auto"/>
            <w:vAlign w:val="center"/>
          </w:tcPr>
          <w:p w:rsidR="000C671F" w:rsidRPr="009E2C03" w:rsidRDefault="009E2C03" w:rsidP="009E2C03">
            <w:pPr>
              <w:adjustRightInd w:val="0"/>
              <w:snapToGrid w:val="0"/>
              <w:jc w:val="center"/>
              <w:rPr>
                <w:rFonts w:ascii="楷体" w:eastAsia="楷体" w:hAnsi="楷体" w:cs="楷体"/>
                <w:sz w:val="24"/>
                <w:szCs w:val="24"/>
              </w:rPr>
            </w:pPr>
            <w:r w:rsidRPr="009E2C03">
              <w:rPr>
                <w:rFonts w:ascii="楷体" w:eastAsia="楷体" w:hAnsi="楷体" w:cs="楷体" w:hint="eastAsia"/>
                <w:sz w:val="24"/>
                <w:szCs w:val="24"/>
              </w:rPr>
              <w:t>李明</w:t>
            </w:r>
          </w:p>
        </w:tc>
        <w:tc>
          <w:tcPr>
            <w:tcW w:w="2138"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联系方式</w:t>
            </w:r>
          </w:p>
        </w:tc>
        <w:tc>
          <w:tcPr>
            <w:tcW w:w="1781" w:type="dxa"/>
            <w:shd w:val="clear" w:color="auto" w:fill="auto"/>
            <w:vAlign w:val="center"/>
          </w:tcPr>
          <w:p w:rsidR="000C671F" w:rsidRPr="009E2C03" w:rsidRDefault="009E2C03" w:rsidP="009E2C03">
            <w:pPr>
              <w:adjustRightInd w:val="0"/>
              <w:snapToGrid w:val="0"/>
              <w:jc w:val="center"/>
              <w:rPr>
                <w:rFonts w:ascii="Times New Roman" w:hAnsi="Times New Roman"/>
                <w:sz w:val="24"/>
                <w:szCs w:val="24"/>
              </w:rPr>
            </w:pPr>
            <w:r w:rsidRPr="009E2C03">
              <w:rPr>
                <w:rFonts w:ascii="Times New Roman" w:hAnsi="Times New Roman" w:hint="eastAsia"/>
                <w:sz w:val="24"/>
                <w:szCs w:val="24"/>
              </w:rPr>
              <w:t>18005609255</w:t>
            </w:r>
          </w:p>
        </w:tc>
      </w:tr>
      <w:tr w:rsidR="000C671F" w:rsidTr="009E2C03">
        <w:trPr>
          <w:trHeight w:val="573"/>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hint="eastAsia"/>
                <w:b/>
                <w:sz w:val="24"/>
                <w:szCs w:val="24"/>
              </w:rPr>
              <w:t>生产经营和管理服务的</w:t>
            </w:r>
            <w:r w:rsidRPr="009E2C03">
              <w:rPr>
                <w:rFonts w:ascii="Times New Roman" w:hAnsi="Times New Roman"/>
                <w:b/>
                <w:sz w:val="24"/>
                <w:szCs w:val="24"/>
              </w:rPr>
              <w:t>主要</w:t>
            </w:r>
            <w:r w:rsidRPr="009E2C03">
              <w:rPr>
                <w:rFonts w:ascii="Times New Roman" w:hAnsi="Times New Roman" w:hint="eastAsia"/>
                <w:b/>
                <w:sz w:val="24"/>
                <w:szCs w:val="24"/>
              </w:rPr>
              <w:t>内容、</w:t>
            </w:r>
            <w:r w:rsidRPr="009E2C03">
              <w:rPr>
                <w:rFonts w:ascii="Times New Roman" w:hAnsi="Times New Roman"/>
                <w:b/>
                <w:sz w:val="24"/>
                <w:szCs w:val="24"/>
              </w:rPr>
              <w:t>产品及</w:t>
            </w:r>
          </w:p>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规模</w:t>
            </w:r>
          </w:p>
        </w:tc>
        <w:tc>
          <w:tcPr>
            <w:tcW w:w="6701" w:type="dxa"/>
            <w:gridSpan w:val="3"/>
            <w:shd w:val="clear" w:color="auto" w:fill="auto"/>
            <w:vAlign w:val="center"/>
          </w:tcPr>
          <w:p w:rsidR="000C671F" w:rsidRPr="009E2C03" w:rsidRDefault="009E2C03" w:rsidP="009E2C03">
            <w:pPr>
              <w:adjustRightInd w:val="0"/>
              <w:snapToGrid w:val="0"/>
              <w:jc w:val="left"/>
              <w:rPr>
                <w:rFonts w:ascii="楷体" w:eastAsia="楷体" w:hAnsi="楷体" w:cs="楷体"/>
                <w:sz w:val="24"/>
                <w:szCs w:val="24"/>
              </w:rPr>
            </w:pPr>
            <w:r w:rsidRPr="009E2C03">
              <w:rPr>
                <w:rFonts w:ascii="Times New Roman" w:eastAsia="楷体" w:hAnsi="Times New Roman" w:hint="eastAsia"/>
                <w:sz w:val="24"/>
                <w:szCs w:val="24"/>
              </w:rPr>
              <w:t>安徽江淮汽车集团股份有限公司发动机公司于</w:t>
            </w:r>
            <w:r w:rsidRPr="009E2C03">
              <w:rPr>
                <w:rFonts w:ascii="Times New Roman" w:eastAsia="楷体" w:hAnsi="Times New Roman" w:hint="eastAsia"/>
                <w:sz w:val="24"/>
                <w:szCs w:val="24"/>
              </w:rPr>
              <w:t>2004</w:t>
            </w:r>
            <w:r w:rsidRPr="009E2C03">
              <w:rPr>
                <w:rFonts w:ascii="Times New Roman" w:eastAsia="楷体" w:hAnsi="Times New Roman" w:hint="eastAsia"/>
                <w:sz w:val="24"/>
                <w:szCs w:val="24"/>
              </w:rPr>
              <w:t>年发文成立，现为安徽江淮汽车集团股份有限公司下属六大事业部之一，主要负责发动机的生产制造与服务，产品立足于</w:t>
            </w:r>
            <w:r w:rsidRPr="009E2C03">
              <w:rPr>
                <w:rFonts w:ascii="Times New Roman" w:eastAsia="楷体" w:hAnsi="Times New Roman" w:hint="eastAsia"/>
                <w:sz w:val="24"/>
                <w:szCs w:val="24"/>
              </w:rPr>
              <w:t>JAC</w:t>
            </w:r>
            <w:r w:rsidRPr="009E2C03">
              <w:rPr>
                <w:rFonts w:ascii="Times New Roman" w:eastAsia="楷体" w:hAnsi="Times New Roman" w:hint="eastAsia"/>
                <w:sz w:val="24"/>
                <w:szCs w:val="24"/>
              </w:rPr>
              <w:t>自主配套。发动机公司组织结构包含</w:t>
            </w:r>
            <w:r w:rsidRPr="009E2C03">
              <w:rPr>
                <w:rFonts w:ascii="Times New Roman" w:eastAsia="楷体" w:hAnsi="Times New Roman" w:hint="eastAsia"/>
                <w:sz w:val="24"/>
                <w:szCs w:val="24"/>
              </w:rPr>
              <w:t>4</w:t>
            </w:r>
            <w:r w:rsidRPr="009E2C03">
              <w:rPr>
                <w:rFonts w:ascii="Times New Roman" w:eastAsia="楷体" w:hAnsi="Times New Roman" w:hint="eastAsia"/>
                <w:sz w:val="24"/>
                <w:szCs w:val="24"/>
              </w:rPr>
              <w:t>个专业厂、</w:t>
            </w:r>
            <w:r w:rsidRPr="009E2C03">
              <w:rPr>
                <w:rFonts w:ascii="Times New Roman" w:eastAsia="楷体" w:hAnsi="Times New Roman" w:hint="eastAsia"/>
                <w:sz w:val="24"/>
                <w:szCs w:val="24"/>
              </w:rPr>
              <w:t>1</w:t>
            </w:r>
            <w:r w:rsidRPr="009E2C03">
              <w:rPr>
                <w:rFonts w:ascii="Times New Roman" w:eastAsia="楷体" w:hAnsi="Times New Roman" w:hint="eastAsia"/>
                <w:sz w:val="24"/>
                <w:szCs w:val="24"/>
              </w:rPr>
              <w:t>个动力研究院和</w:t>
            </w:r>
            <w:r w:rsidRPr="009E2C03">
              <w:rPr>
                <w:rFonts w:ascii="Times New Roman" w:eastAsia="楷体" w:hAnsi="Times New Roman" w:hint="eastAsia"/>
                <w:sz w:val="24"/>
                <w:szCs w:val="24"/>
              </w:rPr>
              <w:t>12</w:t>
            </w:r>
            <w:r w:rsidRPr="009E2C03">
              <w:rPr>
                <w:rFonts w:ascii="Times New Roman" w:eastAsia="楷体" w:hAnsi="Times New Roman" w:hint="eastAsia"/>
                <w:sz w:val="24"/>
                <w:szCs w:val="24"/>
              </w:rPr>
              <w:t>个职能部门，现有员工总数</w:t>
            </w:r>
            <w:r w:rsidRPr="009E2C03">
              <w:rPr>
                <w:rFonts w:ascii="Times New Roman" w:eastAsia="楷体" w:hAnsi="Times New Roman" w:hint="eastAsia"/>
                <w:sz w:val="24"/>
                <w:szCs w:val="24"/>
              </w:rPr>
              <w:t>1300</w:t>
            </w:r>
            <w:r w:rsidRPr="009E2C03">
              <w:rPr>
                <w:rFonts w:ascii="Times New Roman" w:eastAsia="楷体" w:hAnsi="Times New Roman" w:hint="eastAsia"/>
                <w:sz w:val="24"/>
                <w:szCs w:val="24"/>
              </w:rPr>
              <w:t>余人，建筑面积</w:t>
            </w:r>
            <w:r w:rsidRPr="009E2C03">
              <w:rPr>
                <w:rFonts w:ascii="Times New Roman" w:eastAsia="楷体" w:hAnsi="Times New Roman" w:hint="eastAsia"/>
                <w:sz w:val="24"/>
                <w:szCs w:val="24"/>
              </w:rPr>
              <w:t>8</w:t>
            </w:r>
            <w:r w:rsidRPr="009E2C03">
              <w:rPr>
                <w:rFonts w:ascii="Times New Roman" w:eastAsia="楷体" w:hAnsi="Times New Roman" w:hint="eastAsia"/>
                <w:sz w:val="24"/>
                <w:szCs w:val="24"/>
              </w:rPr>
              <w:t>万多平方米，总资产</w:t>
            </w:r>
            <w:r w:rsidRPr="009E2C03">
              <w:rPr>
                <w:rFonts w:ascii="Times New Roman" w:eastAsia="楷体" w:hAnsi="Times New Roman" w:hint="eastAsia"/>
                <w:sz w:val="24"/>
                <w:szCs w:val="24"/>
              </w:rPr>
              <w:t>9.19</w:t>
            </w:r>
            <w:r w:rsidRPr="009E2C03">
              <w:rPr>
                <w:rFonts w:ascii="Times New Roman" w:eastAsia="楷体" w:hAnsi="Times New Roman" w:hint="eastAsia"/>
                <w:sz w:val="24"/>
                <w:szCs w:val="24"/>
              </w:rPr>
              <w:t>亿元。发动机公司产品涵盖</w:t>
            </w:r>
            <w:r w:rsidRPr="009E2C03">
              <w:rPr>
                <w:rFonts w:ascii="Times New Roman" w:eastAsia="楷体" w:hAnsi="Times New Roman" w:hint="eastAsia"/>
                <w:sz w:val="24"/>
                <w:szCs w:val="24"/>
              </w:rPr>
              <w:t>4DB</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4GA</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4GB</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4GC</w:t>
            </w:r>
            <w:r w:rsidRPr="009E2C03">
              <w:rPr>
                <w:rFonts w:ascii="Times New Roman" w:eastAsia="楷体" w:hAnsi="Times New Roman" w:hint="eastAsia"/>
                <w:sz w:val="24"/>
                <w:szCs w:val="24"/>
              </w:rPr>
              <w:t>四大发动机制造平台和</w:t>
            </w:r>
            <w:r w:rsidRPr="009E2C03">
              <w:rPr>
                <w:rFonts w:ascii="Times New Roman" w:eastAsia="楷体" w:hAnsi="Times New Roman" w:hint="eastAsia"/>
                <w:sz w:val="24"/>
                <w:szCs w:val="24"/>
              </w:rPr>
              <w:t>DCT</w:t>
            </w:r>
            <w:r w:rsidRPr="009E2C03">
              <w:rPr>
                <w:rFonts w:ascii="Times New Roman" w:eastAsia="楷体" w:hAnsi="Times New Roman" w:hint="eastAsia"/>
                <w:sz w:val="24"/>
                <w:szCs w:val="24"/>
              </w:rPr>
              <w:t>变速箱制造平台，具备年产</w:t>
            </w:r>
            <w:r w:rsidRPr="009E2C03">
              <w:rPr>
                <w:rFonts w:ascii="Times New Roman" w:eastAsia="楷体" w:hAnsi="Times New Roman" w:hint="eastAsia"/>
                <w:sz w:val="24"/>
                <w:szCs w:val="24"/>
              </w:rPr>
              <w:t>75</w:t>
            </w:r>
            <w:r w:rsidRPr="009E2C03">
              <w:rPr>
                <w:rFonts w:ascii="Times New Roman" w:eastAsia="楷体" w:hAnsi="Times New Roman" w:hint="eastAsia"/>
                <w:sz w:val="24"/>
                <w:szCs w:val="24"/>
              </w:rPr>
              <w:t>万台发动机</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变速箱的生产能力。</w:t>
            </w:r>
          </w:p>
        </w:tc>
      </w:tr>
      <w:tr w:rsidR="000C671F" w:rsidTr="009E2C03">
        <w:trPr>
          <w:trHeight w:val="524"/>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企业地址</w:t>
            </w:r>
          </w:p>
        </w:tc>
        <w:tc>
          <w:tcPr>
            <w:tcW w:w="6701" w:type="dxa"/>
            <w:gridSpan w:val="3"/>
            <w:shd w:val="clear" w:color="auto" w:fill="auto"/>
            <w:vAlign w:val="center"/>
          </w:tcPr>
          <w:p w:rsidR="000C671F" w:rsidRPr="009E2C03" w:rsidRDefault="009E2C03" w:rsidP="009E2C03">
            <w:pPr>
              <w:adjustRightInd w:val="0"/>
              <w:snapToGrid w:val="0"/>
              <w:jc w:val="center"/>
              <w:rPr>
                <w:rFonts w:ascii="楷体" w:eastAsia="楷体" w:hAnsi="楷体" w:cs="楷体"/>
                <w:sz w:val="24"/>
                <w:szCs w:val="24"/>
              </w:rPr>
            </w:pPr>
            <w:r w:rsidRPr="009E2C03">
              <w:rPr>
                <w:rFonts w:ascii="楷体" w:eastAsia="楷体" w:hAnsi="楷体" w:cs="楷体" w:hint="eastAsia"/>
                <w:sz w:val="24"/>
                <w:szCs w:val="24"/>
              </w:rPr>
              <w:t>合肥市锦绣大道</w:t>
            </w:r>
            <w:r w:rsidRPr="009E2C03">
              <w:rPr>
                <w:rFonts w:ascii="楷体" w:eastAsia="楷体" w:hAnsi="楷体" w:cs="楷体" w:hint="eastAsia"/>
                <w:sz w:val="24"/>
                <w:szCs w:val="24"/>
              </w:rPr>
              <w:t>119</w:t>
            </w:r>
            <w:r w:rsidRPr="009E2C03">
              <w:rPr>
                <w:rFonts w:ascii="楷体" w:eastAsia="楷体" w:hAnsi="楷体" w:cs="楷体" w:hint="eastAsia"/>
                <w:sz w:val="24"/>
                <w:szCs w:val="24"/>
              </w:rPr>
              <w:t>号</w:t>
            </w:r>
          </w:p>
        </w:tc>
      </w:tr>
      <w:tr w:rsidR="000C671F" w:rsidTr="009E2C03">
        <w:trPr>
          <w:trHeight w:val="524"/>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企业网站</w:t>
            </w:r>
          </w:p>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w:t>
            </w:r>
            <w:r w:rsidRPr="009E2C03">
              <w:rPr>
                <w:rFonts w:ascii="Times New Roman" w:hAnsi="Times New Roman"/>
                <w:sz w:val="24"/>
                <w:szCs w:val="24"/>
              </w:rPr>
              <w:t>提供网址</w:t>
            </w:r>
            <w:r w:rsidRPr="009E2C03">
              <w:rPr>
                <w:rFonts w:ascii="Times New Roman" w:hAnsi="Times New Roman"/>
                <w:b/>
                <w:sz w:val="24"/>
                <w:szCs w:val="24"/>
              </w:rPr>
              <w:t>）</w:t>
            </w:r>
          </w:p>
        </w:tc>
        <w:tc>
          <w:tcPr>
            <w:tcW w:w="6701" w:type="dxa"/>
            <w:gridSpan w:val="3"/>
            <w:shd w:val="clear" w:color="auto" w:fill="auto"/>
            <w:vAlign w:val="center"/>
          </w:tcPr>
          <w:p w:rsidR="000C671F" w:rsidRPr="009E2C03" w:rsidRDefault="009E2C03" w:rsidP="009E2C03">
            <w:pPr>
              <w:adjustRightInd w:val="0"/>
              <w:snapToGrid w:val="0"/>
              <w:jc w:val="center"/>
              <w:rPr>
                <w:rFonts w:ascii="Times New Roman" w:hAnsi="Times New Roman"/>
                <w:sz w:val="24"/>
                <w:szCs w:val="24"/>
              </w:rPr>
            </w:pPr>
            <w:r w:rsidRPr="009E2C03">
              <w:rPr>
                <w:rFonts w:ascii="Times New Roman" w:hAnsi="Times New Roman" w:hint="eastAsia"/>
                <w:sz w:val="24"/>
                <w:szCs w:val="24"/>
              </w:rPr>
              <w:t>www.jac.com</w:t>
            </w:r>
          </w:p>
        </w:tc>
      </w:tr>
      <w:tr w:rsidR="000C671F" w:rsidTr="009E2C03">
        <w:trPr>
          <w:trHeight w:val="583"/>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hint="eastAsia"/>
                <w:b/>
                <w:sz w:val="24"/>
                <w:szCs w:val="24"/>
              </w:rPr>
              <w:t>主要</w:t>
            </w:r>
            <w:r w:rsidRPr="009E2C03">
              <w:rPr>
                <w:rFonts w:ascii="Times New Roman" w:hAnsi="Times New Roman"/>
                <w:b/>
                <w:sz w:val="24"/>
                <w:szCs w:val="24"/>
              </w:rPr>
              <w:t>污染物及特征</w:t>
            </w:r>
            <w:r w:rsidRPr="009E2C03">
              <w:rPr>
                <w:rFonts w:ascii="Times New Roman" w:hAnsi="Times New Roman" w:hint="eastAsia"/>
                <w:b/>
                <w:sz w:val="24"/>
                <w:szCs w:val="24"/>
              </w:rPr>
              <w:t>污染物的名称</w:t>
            </w:r>
          </w:p>
        </w:tc>
        <w:tc>
          <w:tcPr>
            <w:tcW w:w="6701" w:type="dxa"/>
            <w:gridSpan w:val="3"/>
            <w:shd w:val="clear" w:color="auto" w:fill="auto"/>
            <w:vAlign w:val="center"/>
          </w:tcPr>
          <w:p w:rsidR="000C671F" w:rsidRPr="009E2C03" w:rsidRDefault="009E2C03" w:rsidP="009E2C03">
            <w:pPr>
              <w:adjustRightInd w:val="0"/>
              <w:snapToGrid w:val="0"/>
              <w:jc w:val="center"/>
              <w:rPr>
                <w:rFonts w:ascii="Times New Roman" w:eastAsia="楷体" w:hAnsi="Times New Roman"/>
                <w:sz w:val="24"/>
                <w:szCs w:val="24"/>
              </w:rPr>
            </w:pPr>
            <w:r w:rsidRPr="009E2C03">
              <w:rPr>
                <w:rFonts w:ascii="Times New Roman" w:eastAsia="楷体" w:hAnsi="Times New Roman" w:hint="eastAsia"/>
                <w:sz w:val="24"/>
                <w:szCs w:val="24"/>
              </w:rPr>
              <w:t>废水：</w:t>
            </w:r>
            <w:r w:rsidRPr="009E2C03">
              <w:rPr>
                <w:rFonts w:ascii="Times New Roman" w:eastAsia="楷体" w:hAnsi="Times New Roman" w:hint="eastAsia"/>
                <w:sz w:val="24"/>
                <w:szCs w:val="24"/>
              </w:rPr>
              <w:t>COD</w:t>
            </w:r>
            <w:r w:rsidRPr="009E2C03">
              <w:rPr>
                <w:rFonts w:ascii="Times New Roman" w:eastAsia="楷体" w:hAnsi="Times New Roman" w:hint="eastAsia"/>
                <w:sz w:val="24"/>
                <w:szCs w:val="24"/>
              </w:rPr>
              <w:t>、氨氮、总磷（以</w:t>
            </w:r>
            <w:r w:rsidRPr="009E2C03">
              <w:rPr>
                <w:rFonts w:ascii="Times New Roman" w:eastAsia="楷体" w:hAnsi="Times New Roman" w:hint="eastAsia"/>
                <w:sz w:val="24"/>
                <w:szCs w:val="24"/>
              </w:rPr>
              <w:t>P</w:t>
            </w:r>
            <w:r w:rsidRPr="009E2C03">
              <w:rPr>
                <w:rFonts w:ascii="Times New Roman" w:eastAsia="楷体" w:hAnsi="Times New Roman" w:hint="eastAsia"/>
                <w:sz w:val="24"/>
                <w:szCs w:val="24"/>
              </w:rPr>
              <w:t>计）、五日生化需氧量、悬浮物、</w:t>
            </w:r>
            <w:r w:rsidRPr="009E2C03">
              <w:rPr>
                <w:rFonts w:ascii="Times New Roman" w:eastAsia="楷体" w:hAnsi="Times New Roman" w:hint="eastAsia"/>
                <w:sz w:val="24"/>
                <w:szCs w:val="24"/>
              </w:rPr>
              <w:t>PH</w:t>
            </w:r>
            <w:r w:rsidRPr="009E2C03">
              <w:rPr>
                <w:rFonts w:ascii="Times New Roman" w:eastAsia="楷体" w:hAnsi="Times New Roman" w:hint="eastAsia"/>
                <w:sz w:val="24"/>
                <w:szCs w:val="24"/>
              </w:rPr>
              <w:t>值、阴离子表面活性剂、总氮（以</w:t>
            </w:r>
            <w:r w:rsidRPr="009E2C03">
              <w:rPr>
                <w:rFonts w:ascii="Times New Roman" w:eastAsia="楷体" w:hAnsi="Times New Roman" w:hint="eastAsia"/>
                <w:sz w:val="24"/>
                <w:szCs w:val="24"/>
              </w:rPr>
              <w:t>N</w:t>
            </w:r>
            <w:r w:rsidRPr="009E2C03">
              <w:rPr>
                <w:rFonts w:ascii="Times New Roman" w:eastAsia="楷体" w:hAnsi="Times New Roman" w:hint="eastAsia"/>
                <w:sz w:val="24"/>
                <w:szCs w:val="24"/>
              </w:rPr>
              <w:t>计）、石油类</w:t>
            </w:r>
            <w:r w:rsidRPr="009E2C03">
              <w:rPr>
                <w:rFonts w:ascii="Times New Roman" w:eastAsia="楷体" w:hAnsi="Times New Roman" w:hint="eastAsia"/>
                <w:sz w:val="24"/>
                <w:szCs w:val="24"/>
              </w:rPr>
              <w:t>;</w:t>
            </w:r>
          </w:p>
          <w:p w:rsidR="000C671F" w:rsidRPr="009E2C03" w:rsidRDefault="009E2C03" w:rsidP="009E2C03">
            <w:pPr>
              <w:adjustRightInd w:val="0"/>
              <w:snapToGrid w:val="0"/>
              <w:jc w:val="center"/>
              <w:rPr>
                <w:rFonts w:ascii="Times New Roman" w:eastAsia="楷体" w:hAnsi="Times New Roman"/>
                <w:sz w:val="24"/>
                <w:szCs w:val="24"/>
              </w:rPr>
            </w:pPr>
            <w:r w:rsidRPr="009E2C03">
              <w:rPr>
                <w:rFonts w:ascii="Times New Roman" w:eastAsia="楷体" w:hAnsi="Times New Roman" w:hint="eastAsia"/>
                <w:sz w:val="24"/>
                <w:szCs w:val="24"/>
              </w:rPr>
              <w:t>废气：颗粒物、二氧化硫、</w:t>
            </w:r>
            <w:proofErr w:type="spellStart"/>
            <w:r w:rsidRPr="009E2C03">
              <w:rPr>
                <w:rFonts w:ascii="Times New Roman" w:eastAsia="楷体" w:hAnsi="Times New Roman" w:hint="eastAsia"/>
                <w:sz w:val="24"/>
                <w:szCs w:val="24"/>
              </w:rPr>
              <w:t>NOx</w:t>
            </w:r>
            <w:proofErr w:type="spellEnd"/>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VOCs</w:t>
            </w:r>
            <w:r w:rsidRPr="009E2C03">
              <w:rPr>
                <w:rFonts w:ascii="Times New Roman" w:eastAsia="楷体" w:hAnsi="Times New Roman" w:hint="eastAsia"/>
                <w:sz w:val="24"/>
                <w:szCs w:val="24"/>
              </w:rPr>
              <w:t>、恶臭、氨气、硫化氢</w:t>
            </w:r>
          </w:p>
        </w:tc>
      </w:tr>
      <w:tr w:rsidR="000C671F" w:rsidTr="009E2C03">
        <w:trPr>
          <w:trHeight w:val="577"/>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排放方式</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废气：有组织、无组织；废水：间断排放</w:t>
            </w:r>
          </w:p>
        </w:tc>
      </w:tr>
      <w:tr w:rsidR="000C671F" w:rsidTr="009E2C03">
        <w:trPr>
          <w:trHeight w:val="543"/>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排放口数量和分布情况</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废气：主要排放口数量：</w:t>
            </w:r>
            <w:r w:rsidRPr="009E2C03">
              <w:rPr>
                <w:rFonts w:ascii="Times New Roman" w:eastAsia="楷体" w:hAnsi="Times New Roman" w:hint="eastAsia"/>
                <w:sz w:val="24"/>
                <w:szCs w:val="24"/>
              </w:rPr>
              <w:t>3</w:t>
            </w:r>
            <w:r w:rsidRPr="009E2C03">
              <w:rPr>
                <w:rFonts w:ascii="Times New Roman" w:eastAsia="楷体" w:hAnsi="Times New Roman" w:hint="eastAsia"/>
                <w:sz w:val="24"/>
                <w:szCs w:val="24"/>
              </w:rPr>
              <w:t>个（其中</w:t>
            </w:r>
            <w:r w:rsidRPr="009E2C03">
              <w:rPr>
                <w:rFonts w:ascii="Times New Roman" w:eastAsia="楷体" w:hAnsi="Times New Roman" w:hint="eastAsia"/>
                <w:sz w:val="24"/>
                <w:szCs w:val="24"/>
              </w:rPr>
              <w:t>2</w:t>
            </w:r>
            <w:r w:rsidRPr="009E2C03">
              <w:rPr>
                <w:rFonts w:ascii="Times New Roman" w:eastAsia="楷体" w:hAnsi="Times New Roman" w:hint="eastAsia"/>
                <w:sz w:val="24"/>
                <w:szCs w:val="24"/>
              </w:rPr>
              <w:t>个性能试验台架排口已报停，</w:t>
            </w:r>
            <w:r w:rsidRPr="009E2C03">
              <w:rPr>
                <w:rFonts w:ascii="Times New Roman" w:eastAsia="楷体" w:hAnsi="Times New Roman" w:hint="eastAsia"/>
                <w:sz w:val="24"/>
                <w:szCs w:val="24"/>
              </w:rPr>
              <w:t>1</w:t>
            </w:r>
            <w:r w:rsidRPr="009E2C03">
              <w:rPr>
                <w:rFonts w:ascii="Times New Roman" w:eastAsia="楷体" w:hAnsi="Times New Roman" w:hint="eastAsia"/>
                <w:sz w:val="24"/>
                <w:szCs w:val="24"/>
              </w:rPr>
              <w:t>个柴油机出厂热态试验台架在使用）；一般排放口：</w:t>
            </w:r>
            <w:r w:rsidRPr="009E2C03">
              <w:rPr>
                <w:rFonts w:ascii="Times New Roman" w:eastAsia="楷体" w:hAnsi="Times New Roman" w:hint="eastAsia"/>
                <w:sz w:val="24"/>
                <w:szCs w:val="24"/>
              </w:rPr>
              <w:t>62</w:t>
            </w:r>
            <w:r w:rsidRPr="009E2C03">
              <w:rPr>
                <w:rFonts w:ascii="Times New Roman" w:eastAsia="楷体" w:hAnsi="Times New Roman" w:hint="eastAsia"/>
                <w:sz w:val="24"/>
                <w:szCs w:val="24"/>
              </w:rPr>
              <w:t>个（已报停</w:t>
            </w:r>
            <w:r w:rsidRPr="009E2C03">
              <w:rPr>
                <w:rFonts w:ascii="Times New Roman" w:eastAsia="楷体" w:hAnsi="Times New Roman" w:hint="eastAsia"/>
                <w:sz w:val="24"/>
                <w:szCs w:val="24"/>
              </w:rPr>
              <w:t>9</w:t>
            </w:r>
            <w:r w:rsidRPr="009E2C03">
              <w:rPr>
                <w:rFonts w:ascii="Times New Roman" w:eastAsia="楷体" w:hAnsi="Times New Roman" w:hint="eastAsia"/>
                <w:sz w:val="24"/>
                <w:szCs w:val="24"/>
              </w:rPr>
              <w:t>处一般性排口，目前使用的是</w:t>
            </w:r>
            <w:r w:rsidRPr="009E2C03">
              <w:rPr>
                <w:rFonts w:ascii="Times New Roman" w:eastAsia="楷体" w:hAnsi="Times New Roman" w:hint="eastAsia"/>
                <w:sz w:val="24"/>
                <w:szCs w:val="24"/>
              </w:rPr>
              <w:t>53</w:t>
            </w:r>
            <w:r w:rsidRPr="009E2C03">
              <w:rPr>
                <w:rFonts w:ascii="Times New Roman" w:eastAsia="楷体" w:hAnsi="Times New Roman" w:hint="eastAsia"/>
                <w:sz w:val="24"/>
                <w:szCs w:val="24"/>
              </w:rPr>
              <w:t>处）排口均分布在发动机公司Ａ、Ｂ、Ｃ三个厂区的；无组织排口在污水站</w:t>
            </w:r>
          </w:p>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废水：排放口数量</w:t>
            </w:r>
            <w:r w:rsidRPr="009E2C03">
              <w:rPr>
                <w:rFonts w:ascii="Times New Roman" w:eastAsia="楷体" w:hAnsi="Times New Roman" w:hint="eastAsia"/>
                <w:sz w:val="24"/>
                <w:szCs w:val="24"/>
              </w:rPr>
              <w:t>1</w:t>
            </w:r>
            <w:r w:rsidRPr="009E2C03">
              <w:rPr>
                <w:rFonts w:ascii="Times New Roman" w:eastAsia="楷体" w:hAnsi="Times New Roman" w:hint="eastAsia"/>
                <w:sz w:val="24"/>
                <w:szCs w:val="24"/>
              </w:rPr>
              <w:t>处，在污水站东北角位置</w:t>
            </w:r>
          </w:p>
        </w:tc>
      </w:tr>
      <w:tr w:rsidR="000C671F" w:rsidTr="009E2C03">
        <w:trPr>
          <w:trHeight w:val="565"/>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排放浓度</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废气：</w:t>
            </w:r>
            <w:r w:rsidRPr="009E2C03">
              <w:rPr>
                <w:rFonts w:ascii="Times New Roman" w:eastAsia="楷体" w:hAnsi="Times New Roman" w:hint="eastAsia"/>
                <w:sz w:val="24"/>
                <w:szCs w:val="24"/>
              </w:rPr>
              <w:t>VOCs</w:t>
            </w:r>
            <w:r w:rsidRPr="009E2C03">
              <w:rPr>
                <w:rFonts w:ascii="Times New Roman" w:eastAsia="楷体" w:hAnsi="Times New Roman" w:hint="eastAsia"/>
                <w:sz w:val="24"/>
                <w:szCs w:val="24"/>
              </w:rPr>
              <w:t>平均值和：</w:t>
            </w:r>
            <w:r w:rsidRPr="009E2C03">
              <w:rPr>
                <w:rFonts w:ascii="Times New Roman" w:eastAsia="楷体" w:hAnsi="Times New Roman" w:hint="eastAsia"/>
                <w:sz w:val="24"/>
                <w:szCs w:val="24"/>
              </w:rPr>
              <w:t>248.707mg/m</w:t>
            </w:r>
            <w:r w:rsidRPr="009E2C03">
              <w:rPr>
                <w:rFonts w:ascii="Times New Roman" w:eastAsia="楷体" w:hAnsi="Times New Roman" w:hint="eastAsia"/>
                <w:sz w:val="24"/>
                <w:szCs w:val="24"/>
              </w:rPr>
              <w:t>³。</w:t>
            </w:r>
            <w:proofErr w:type="spellStart"/>
            <w:r w:rsidRPr="009E2C03">
              <w:rPr>
                <w:rFonts w:ascii="Times New Roman" w:eastAsia="楷体" w:hAnsi="Times New Roman" w:hint="eastAsia"/>
                <w:sz w:val="24"/>
                <w:szCs w:val="24"/>
              </w:rPr>
              <w:t>NOx</w:t>
            </w:r>
            <w:proofErr w:type="spellEnd"/>
            <w:r w:rsidRPr="009E2C03">
              <w:rPr>
                <w:rFonts w:ascii="Times New Roman" w:eastAsia="楷体" w:hAnsi="Times New Roman" w:hint="eastAsia"/>
                <w:sz w:val="24"/>
                <w:szCs w:val="24"/>
              </w:rPr>
              <w:t>平均值和：</w:t>
            </w:r>
            <w:r w:rsidRPr="009E2C03">
              <w:rPr>
                <w:rFonts w:ascii="Times New Roman" w:eastAsia="楷体" w:hAnsi="Times New Roman" w:hint="eastAsia"/>
                <w:sz w:val="24"/>
                <w:szCs w:val="24"/>
              </w:rPr>
              <w:t>33.577mg/m</w:t>
            </w:r>
            <w:r w:rsidRPr="009E2C03">
              <w:rPr>
                <w:rFonts w:ascii="Times New Roman" w:eastAsia="楷体" w:hAnsi="Times New Roman" w:hint="eastAsia"/>
                <w:sz w:val="24"/>
                <w:szCs w:val="24"/>
              </w:rPr>
              <w:t>³；颗粒物平均值：</w:t>
            </w:r>
            <w:r w:rsidRPr="009E2C03">
              <w:rPr>
                <w:rFonts w:ascii="Times New Roman" w:eastAsia="楷体" w:hAnsi="Times New Roman" w:hint="eastAsia"/>
                <w:sz w:val="24"/>
                <w:szCs w:val="24"/>
              </w:rPr>
              <w:t>16.77mg/m</w:t>
            </w:r>
            <w:r w:rsidRPr="009E2C03">
              <w:rPr>
                <w:rFonts w:ascii="Times New Roman" w:eastAsia="楷体" w:hAnsi="Times New Roman" w:hint="eastAsia"/>
                <w:sz w:val="24"/>
                <w:szCs w:val="24"/>
              </w:rPr>
              <w:t>³</w:t>
            </w:r>
          </w:p>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废水：总磷（以</w:t>
            </w:r>
            <w:r w:rsidRPr="009E2C03">
              <w:rPr>
                <w:rFonts w:ascii="Times New Roman" w:eastAsia="楷体" w:hAnsi="Times New Roman" w:hint="eastAsia"/>
                <w:sz w:val="24"/>
                <w:szCs w:val="24"/>
              </w:rPr>
              <w:t>P</w:t>
            </w:r>
            <w:r w:rsidRPr="009E2C03">
              <w:rPr>
                <w:rFonts w:ascii="Times New Roman" w:eastAsia="楷体" w:hAnsi="Times New Roman" w:hint="eastAsia"/>
                <w:sz w:val="24"/>
                <w:szCs w:val="24"/>
              </w:rPr>
              <w:t>计）平均值：</w:t>
            </w:r>
            <w:r w:rsidRPr="009E2C03">
              <w:rPr>
                <w:rFonts w:ascii="Times New Roman" w:eastAsia="楷体" w:hAnsi="Times New Roman" w:hint="eastAsia"/>
                <w:sz w:val="24"/>
                <w:szCs w:val="24"/>
              </w:rPr>
              <w:t>0.51mg/L</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pH</w:t>
            </w:r>
            <w:r w:rsidRPr="009E2C03">
              <w:rPr>
                <w:rFonts w:ascii="Times New Roman" w:eastAsia="楷体" w:hAnsi="Times New Roman" w:hint="eastAsia"/>
                <w:sz w:val="24"/>
                <w:szCs w:val="24"/>
              </w:rPr>
              <w:t>值平均值：</w:t>
            </w:r>
            <w:r w:rsidRPr="009E2C03">
              <w:rPr>
                <w:rFonts w:ascii="Times New Roman" w:eastAsia="楷体" w:hAnsi="Times New Roman" w:hint="eastAsia"/>
                <w:sz w:val="24"/>
                <w:szCs w:val="24"/>
              </w:rPr>
              <w:t>7.67</w:t>
            </w:r>
            <w:r w:rsidRPr="009E2C03">
              <w:rPr>
                <w:rFonts w:ascii="Times New Roman" w:eastAsia="楷体" w:hAnsi="Times New Roman" w:hint="eastAsia"/>
                <w:sz w:val="24"/>
                <w:szCs w:val="24"/>
              </w:rPr>
              <w:t>；总氮（以</w:t>
            </w:r>
            <w:r w:rsidRPr="009E2C03">
              <w:rPr>
                <w:rFonts w:ascii="Times New Roman" w:eastAsia="楷体" w:hAnsi="Times New Roman" w:hint="eastAsia"/>
                <w:sz w:val="24"/>
                <w:szCs w:val="24"/>
              </w:rPr>
              <w:t>N</w:t>
            </w:r>
            <w:r w:rsidRPr="009E2C03">
              <w:rPr>
                <w:rFonts w:ascii="Times New Roman" w:eastAsia="楷体" w:hAnsi="Times New Roman" w:hint="eastAsia"/>
                <w:sz w:val="24"/>
                <w:szCs w:val="24"/>
              </w:rPr>
              <w:t>计）平均值：</w:t>
            </w:r>
            <w:r w:rsidRPr="009E2C03">
              <w:rPr>
                <w:rFonts w:ascii="Times New Roman" w:eastAsia="楷体" w:hAnsi="Times New Roman" w:hint="eastAsia"/>
                <w:sz w:val="24"/>
                <w:szCs w:val="24"/>
              </w:rPr>
              <w:t>12.2mg/L</w:t>
            </w:r>
            <w:r w:rsidRPr="009E2C03">
              <w:rPr>
                <w:rFonts w:ascii="Times New Roman" w:eastAsia="楷体" w:hAnsi="Times New Roman" w:hint="eastAsia"/>
                <w:sz w:val="24"/>
                <w:szCs w:val="24"/>
              </w:rPr>
              <w:t>；五日生化需氧量平均值：</w:t>
            </w:r>
            <w:r w:rsidRPr="009E2C03">
              <w:rPr>
                <w:rFonts w:ascii="Times New Roman" w:eastAsia="楷体" w:hAnsi="Times New Roman" w:hint="eastAsia"/>
                <w:sz w:val="24"/>
                <w:szCs w:val="24"/>
              </w:rPr>
              <w:t>9.06mg/L</w:t>
            </w:r>
            <w:r w:rsidRPr="009E2C03">
              <w:rPr>
                <w:rFonts w:ascii="Times New Roman" w:eastAsia="楷体" w:hAnsi="Times New Roman" w:hint="eastAsia"/>
                <w:sz w:val="24"/>
                <w:szCs w:val="24"/>
              </w:rPr>
              <w:t>；化学需氧量平均值：</w:t>
            </w:r>
            <w:r w:rsidRPr="009E2C03">
              <w:rPr>
                <w:rFonts w:ascii="Times New Roman" w:eastAsia="楷体" w:hAnsi="Times New Roman" w:hint="eastAsia"/>
                <w:sz w:val="24"/>
                <w:szCs w:val="24"/>
              </w:rPr>
              <w:t>19.0mg/L</w:t>
            </w:r>
            <w:r w:rsidRPr="009E2C03">
              <w:rPr>
                <w:rFonts w:ascii="Times New Roman" w:eastAsia="楷体" w:hAnsi="Times New Roman" w:hint="eastAsia"/>
                <w:sz w:val="24"/>
                <w:szCs w:val="24"/>
              </w:rPr>
              <w:t>；氨氮（</w:t>
            </w:r>
            <w:r w:rsidRPr="009E2C03">
              <w:rPr>
                <w:rFonts w:ascii="Times New Roman" w:eastAsia="楷体" w:hAnsi="Times New Roman" w:hint="eastAsia"/>
                <w:sz w:val="24"/>
                <w:szCs w:val="24"/>
              </w:rPr>
              <w:t>NH3-N</w:t>
            </w:r>
            <w:r w:rsidRPr="009E2C03">
              <w:rPr>
                <w:rFonts w:ascii="Times New Roman" w:eastAsia="楷体" w:hAnsi="Times New Roman" w:hint="eastAsia"/>
                <w:sz w:val="24"/>
                <w:szCs w:val="24"/>
              </w:rPr>
              <w:t>）平均值：</w:t>
            </w:r>
            <w:r w:rsidRPr="009E2C03">
              <w:rPr>
                <w:rFonts w:ascii="Times New Roman" w:eastAsia="楷体" w:hAnsi="Times New Roman" w:hint="eastAsia"/>
                <w:sz w:val="24"/>
                <w:szCs w:val="24"/>
              </w:rPr>
              <w:t>2.28mg/L</w:t>
            </w:r>
            <w:r w:rsidRPr="009E2C03">
              <w:rPr>
                <w:rFonts w:ascii="Times New Roman" w:eastAsia="楷体" w:hAnsi="Times New Roman" w:hint="eastAsia"/>
                <w:sz w:val="24"/>
                <w:szCs w:val="24"/>
              </w:rPr>
              <w:t>；阴离子表面活性剂平均值：</w:t>
            </w:r>
            <w:r w:rsidRPr="009E2C03">
              <w:rPr>
                <w:rFonts w:ascii="Times New Roman" w:eastAsia="楷体" w:hAnsi="Times New Roman" w:hint="eastAsia"/>
                <w:sz w:val="24"/>
                <w:szCs w:val="24"/>
              </w:rPr>
              <w:t>0.05mg/L</w:t>
            </w:r>
            <w:r w:rsidRPr="009E2C03">
              <w:rPr>
                <w:rFonts w:ascii="Times New Roman" w:eastAsia="楷体" w:hAnsi="Times New Roman" w:hint="eastAsia"/>
                <w:sz w:val="24"/>
                <w:szCs w:val="24"/>
              </w:rPr>
              <w:t>；悬浮物平均值：</w:t>
            </w:r>
            <w:r w:rsidRPr="009E2C03">
              <w:rPr>
                <w:rFonts w:ascii="Times New Roman" w:eastAsia="楷体" w:hAnsi="Times New Roman" w:hint="eastAsia"/>
                <w:sz w:val="24"/>
                <w:szCs w:val="24"/>
              </w:rPr>
              <w:t>15.67mg/L</w:t>
            </w:r>
            <w:r w:rsidRPr="009E2C03">
              <w:rPr>
                <w:rFonts w:ascii="Times New Roman" w:eastAsia="楷体" w:hAnsi="Times New Roman" w:hint="eastAsia"/>
                <w:sz w:val="24"/>
                <w:szCs w:val="24"/>
              </w:rPr>
              <w:t>；石油类平均值：</w:t>
            </w:r>
            <w:r w:rsidRPr="009E2C03">
              <w:rPr>
                <w:rFonts w:ascii="Times New Roman" w:eastAsia="楷体" w:hAnsi="Times New Roman" w:hint="eastAsia"/>
                <w:sz w:val="24"/>
                <w:szCs w:val="24"/>
              </w:rPr>
              <w:t>0.9mg/L</w:t>
            </w:r>
          </w:p>
        </w:tc>
      </w:tr>
      <w:tr w:rsidR="000C671F" w:rsidTr="009E2C03">
        <w:trPr>
          <w:trHeight w:val="545"/>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排放总量</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废气：</w:t>
            </w:r>
            <w:r w:rsidRPr="009E2C03">
              <w:rPr>
                <w:rFonts w:ascii="Times New Roman" w:eastAsia="楷体" w:hAnsi="Times New Roman" w:hint="eastAsia"/>
                <w:sz w:val="24"/>
                <w:szCs w:val="24"/>
              </w:rPr>
              <w:t xml:space="preserve"> VOCs</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0.872205</w:t>
            </w:r>
            <w:r w:rsidRPr="009E2C03">
              <w:rPr>
                <w:rFonts w:ascii="Times New Roman" w:eastAsia="楷体" w:hAnsi="Times New Roman" w:hint="eastAsia"/>
                <w:sz w:val="24"/>
                <w:szCs w:val="24"/>
              </w:rPr>
              <w:t>吨；</w:t>
            </w:r>
            <w:r w:rsidRPr="009E2C03">
              <w:rPr>
                <w:rFonts w:ascii="Times New Roman" w:eastAsia="楷体" w:hAnsi="Times New Roman" w:hint="eastAsia"/>
                <w:sz w:val="24"/>
                <w:szCs w:val="24"/>
              </w:rPr>
              <w:t>SO2</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0.267239</w:t>
            </w:r>
            <w:r w:rsidRPr="009E2C03">
              <w:rPr>
                <w:rFonts w:ascii="Times New Roman" w:eastAsia="楷体" w:hAnsi="Times New Roman" w:hint="eastAsia"/>
                <w:sz w:val="24"/>
                <w:szCs w:val="24"/>
              </w:rPr>
              <w:t>；颗粒物：</w:t>
            </w:r>
            <w:r w:rsidRPr="009E2C03">
              <w:rPr>
                <w:rFonts w:ascii="Times New Roman" w:eastAsia="楷体" w:hAnsi="Times New Roman" w:hint="eastAsia"/>
                <w:sz w:val="24"/>
                <w:szCs w:val="24"/>
              </w:rPr>
              <w:t>1.009091</w:t>
            </w:r>
            <w:r w:rsidRPr="009E2C03">
              <w:rPr>
                <w:rFonts w:ascii="Times New Roman" w:eastAsia="楷体" w:hAnsi="Times New Roman" w:hint="eastAsia"/>
                <w:sz w:val="24"/>
                <w:szCs w:val="24"/>
              </w:rPr>
              <w:t>吨；</w:t>
            </w:r>
            <w:r w:rsidRPr="009E2C03">
              <w:rPr>
                <w:rFonts w:ascii="Times New Roman" w:eastAsia="楷体" w:hAnsi="Times New Roman" w:hint="eastAsia"/>
                <w:sz w:val="24"/>
                <w:szCs w:val="24"/>
              </w:rPr>
              <w:t>NOx:0.602426</w:t>
            </w:r>
            <w:r w:rsidRPr="009E2C03">
              <w:rPr>
                <w:rFonts w:ascii="Times New Roman" w:eastAsia="楷体" w:hAnsi="Times New Roman" w:hint="eastAsia"/>
                <w:sz w:val="24"/>
                <w:szCs w:val="24"/>
              </w:rPr>
              <w:t>吨。</w:t>
            </w:r>
          </w:p>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废水：悬浮物：</w:t>
            </w:r>
            <w:r w:rsidRPr="009E2C03">
              <w:rPr>
                <w:rFonts w:ascii="Times New Roman" w:eastAsia="楷体" w:hAnsi="Times New Roman" w:hint="eastAsia"/>
                <w:sz w:val="24"/>
                <w:szCs w:val="24"/>
              </w:rPr>
              <w:t>0.839461</w:t>
            </w:r>
            <w:r w:rsidRPr="009E2C03">
              <w:rPr>
                <w:rFonts w:ascii="Times New Roman" w:eastAsia="楷体" w:hAnsi="Times New Roman" w:hint="eastAsia"/>
                <w:sz w:val="24"/>
                <w:szCs w:val="24"/>
              </w:rPr>
              <w:t>吨；石油类：</w:t>
            </w:r>
            <w:r w:rsidRPr="009E2C03">
              <w:rPr>
                <w:rFonts w:ascii="Times New Roman" w:eastAsia="楷体" w:hAnsi="Times New Roman" w:hint="eastAsia"/>
                <w:sz w:val="24"/>
                <w:szCs w:val="24"/>
              </w:rPr>
              <w:t>0.049012</w:t>
            </w:r>
            <w:r w:rsidRPr="009E2C03">
              <w:rPr>
                <w:rFonts w:ascii="Times New Roman" w:eastAsia="楷体" w:hAnsi="Times New Roman" w:hint="eastAsia"/>
                <w:sz w:val="24"/>
                <w:szCs w:val="24"/>
              </w:rPr>
              <w:t>吨；总氮（以</w:t>
            </w:r>
            <w:r w:rsidRPr="009E2C03">
              <w:rPr>
                <w:rFonts w:ascii="Times New Roman" w:eastAsia="楷体" w:hAnsi="Times New Roman" w:hint="eastAsia"/>
                <w:sz w:val="24"/>
                <w:szCs w:val="24"/>
              </w:rPr>
              <w:t>N</w:t>
            </w:r>
            <w:r w:rsidRPr="009E2C03">
              <w:rPr>
                <w:rFonts w:ascii="Times New Roman" w:eastAsia="楷体" w:hAnsi="Times New Roman" w:hint="eastAsia"/>
                <w:sz w:val="24"/>
                <w:szCs w:val="24"/>
              </w:rPr>
              <w:t>计）：</w:t>
            </w:r>
            <w:r w:rsidRPr="009E2C03">
              <w:rPr>
                <w:rFonts w:ascii="Times New Roman" w:eastAsia="楷体" w:hAnsi="Times New Roman" w:hint="eastAsia"/>
                <w:sz w:val="24"/>
                <w:szCs w:val="24"/>
              </w:rPr>
              <w:t>0.618524</w:t>
            </w:r>
            <w:r w:rsidRPr="009E2C03">
              <w:rPr>
                <w:rFonts w:ascii="Times New Roman" w:eastAsia="楷体" w:hAnsi="Times New Roman" w:hint="eastAsia"/>
                <w:sz w:val="24"/>
                <w:szCs w:val="24"/>
              </w:rPr>
              <w:t>；化学需氧量：</w:t>
            </w:r>
            <w:r w:rsidRPr="009E2C03">
              <w:rPr>
                <w:rFonts w:ascii="Times New Roman" w:eastAsia="楷体" w:hAnsi="Times New Roman" w:hint="eastAsia"/>
                <w:sz w:val="24"/>
                <w:szCs w:val="24"/>
              </w:rPr>
              <w:t>1.019811</w:t>
            </w:r>
            <w:r w:rsidRPr="009E2C03">
              <w:rPr>
                <w:rFonts w:ascii="Times New Roman" w:eastAsia="楷体" w:hAnsi="Times New Roman" w:hint="eastAsia"/>
                <w:sz w:val="24"/>
                <w:szCs w:val="24"/>
              </w:rPr>
              <w:t>；阴离子表面活性剂：</w:t>
            </w:r>
            <w:r w:rsidRPr="009E2C03">
              <w:rPr>
                <w:rFonts w:ascii="Times New Roman" w:eastAsia="楷体" w:hAnsi="Times New Roman" w:hint="eastAsia"/>
                <w:sz w:val="24"/>
                <w:szCs w:val="24"/>
              </w:rPr>
              <w:t>0.002862</w:t>
            </w:r>
            <w:r w:rsidRPr="009E2C03">
              <w:rPr>
                <w:rFonts w:ascii="Times New Roman" w:eastAsia="楷体" w:hAnsi="Times New Roman" w:hint="eastAsia"/>
                <w:sz w:val="24"/>
                <w:szCs w:val="24"/>
              </w:rPr>
              <w:t>吨；总磷（以</w:t>
            </w:r>
            <w:r w:rsidRPr="009E2C03">
              <w:rPr>
                <w:rFonts w:ascii="Times New Roman" w:eastAsia="楷体" w:hAnsi="Times New Roman" w:hint="eastAsia"/>
                <w:sz w:val="24"/>
                <w:szCs w:val="24"/>
              </w:rPr>
              <w:t>P</w:t>
            </w:r>
            <w:r w:rsidRPr="009E2C03">
              <w:rPr>
                <w:rFonts w:ascii="Times New Roman" w:eastAsia="楷体" w:hAnsi="Times New Roman" w:hint="eastAsia"/>
                <w:sz w:val="24"/>
                <w:szCs w:val="24"/>
              </w:rPr>
              <w:t>计）：</w:t>
            </w:r>
            <w:r w:rsidRPr="009E2C03">
              <w:rPr>
                <w:rFonts w:ascii="Times New Roman" w:eastAsia="楷体" w:hAnsi="Times New Roman" w:hint="eastAsia"/>
                <w:sz w:val="24"/>
                <w:szCs w:val="24"/>
              </w:rPr>
              <w:t>0.027203</w:t>
            </w:r>
            <w:r w:rsidRPr="009E2C03">
              <w:rPr>
                <w:rFonts w:ascii="Times New Roman" w:eastAsia="楷体" w:hAnsi="Times New Roman" w:hint="eastAsia"/>
                <w:sz w:val="24"/>
                <w:szCs w:val="24"/>
              </w:rPr>
              <w:t>吨；氨氮：</w:t>
            </w:r>
            <w:r w:rsidRPr="009E2C03">
              <w:rPr>
                <w:rFonts w:ascii="Times New Roman" w:eastAsia="楷体" w:hAnsi="Times New Roman" w:hint="eastAsia"/>
                <w:sz w:val="24"/>
                <w:szCs w:val="24"/>
              </w:rPr>
              <w:t>0.102633</w:t>
            </w:r>
            <w:r w:rsidRPr="009E2C03">
              <w:rPr>
                <w:rFonts w:ascii="Times New Roman" w:eastAsia="楷体" w:hAnsi="Times New Roman" w:hint="eastAsia"/>
                <w:sz w:val="24"/>
                <w:szCs w:val="24"/>
              </w:rPr>
              <w:t>吨；五日生化需氧量：</w:t>
            </w:r>
            <w:r w:rsidRPr="009E2C03">
              <w:rPr>
                <w:rFonts w:ascii="Times New Roman" w:eastAsia="楷体" w:hAnsi="Times New Roman" w:hint="eastAsia"/>
                <w:sz w:val="24"/>
                <w:szCs w:val="24"/>
              </w:rPr>
              <w:t>0.419283</w:t>
            </w:r>
            <w:r w:rsidRPr="009E2C03">
              <w:rPr>
                <w:rFonts w:ascii="Times New Roman" w:eastAsia="楷体" w:hAnsi="Times New Roman" w:hint="eastAsia"/>
                <w:sz w:val="24"/>
                <w:szCs w:val="24"/>
              </w:rPr>
              <w:t>吨；</w:t>
            </w:r>
          </w:p>
          <w:p w:rsidR="000C671F" w:rsidRPr="009E2C03" w:rsidRDefault="000C671F" w:rsidP="009E2C03">
            <w:pPr>
              <w:adjustRightInd w:val="0"/>
              <w:snapToGrid w:val="0"/>
              <w:jc w:val="center"/>
              <w:rPr>
                <w:rFonts w:ascii="Times New Roman" w:eastAsia="楷体" w:hAnsi="Times New Roman"/>
                <w:sz w:val="24"/>
                <w:szCs w:val="24"/>
              </w:rPr>
            </w:pPr>
          </w:p>
        </w:tc>
      </w:tr>
      <w:tr w:rsidR="000C671F" w:rsidTr="009E2C03">
        <w:trPr>
          <w:trHeight w:val="553"/>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lastRenderedPageBreak/>
              <w:t>超标情况</w:t>
            </w:r>
          </w:p>
        </w:tc>
        <w:tc>
          <w:tcPr>
            <w:tcW w:w="6701" w:type="dxa"/>
            <w:gridSpan w:val="3"/>
            <w:shd w:val="clear" w:color="auto" w:fill="auto"/>
            <w:vAlign w:val="center"/>
          </w:tcPr>
          <w:p w:rsidR="000C671F" w:rsidRPr="009E2C03" w:rsidRDefault="009E2C03" w:rsidP="009E2C03">
            <w:pPr>
              <w:adjustRightInd w:val="0"/>
              <w:snapToGrid w:val="0"/>
              <w:jc w:val="center"/>
              <w:rPr>
                <w:rFonts w:ascii="Times New Roman" w:eastAsia="楷体" w:hAnsi="Times New Roman"/>
                <w:sz w:val="24"/>
                <w:szCs w:val="24"/>
              </w:rPr>
            </w:pPr>
            <w:r w:rsidRPr="009E2C03">
              <w:rPr>
                <w:rFonts w:ascii="Times New Roman" w:eastAsia="楷体" w:hAnsi="Times New Roman" w:hint="eastAsia"/>
                <w:sz w:val="24"/>
                <w:szCs w:val="24"/>
              </w:rPr>
              <w:t>无</w:t>
            </w:r>
          </w:p>
        </w:tc>
      </w:tr>
      <w:tr w:rsidR="000C671F" w:rsidTr="009E2C03">
        <w:trPr>
          <w:trHeight w:val="575"/>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执行的污染物排放标准</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废气：</w:t>
            </w:r>
            <w:r w:rsidRPr="009E2C03">
              <w:rPr>
                <w:rFonts w:ascii="Times New Roman" w:eastAsia="楷体" w:hAnsi="Times New Roman" w:hint="eastAsia"/>
                <w:sz w:val="24"/>
                <w:szCs w:val="24"/>
              </w:rPr>
              <w:t>GB-16297-1996</w:t>
            </w:r>
            <w:r w:rsidRPr="009E2C03">
              <w:rPr>
                <w:rFonts w:ascii="Times New Roman" w:eastAsia="楷体" w:hAnsi="Times New Roman" w:hint="eastAsia"/>
                <w:sz w:val="24"/>
                <w:szCs w:val="24"/>
              </w:rPr>
              <w:t>《大气污染物综合排放标准》（二级）</w:t>
            </w:r>
          </w:p>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废水：</w:t>
            </w:r>
            <w:r w:rsidRPr="009E2C03">
              <w:rPr>
                <w:rFonts w:ascii="Times New Roman" w:eastAsia="楷体" w:hAnsi="Times New Roman" w:hint="eastAsia"/>
                <w:sz w:val="24"/>
                <w:szCs w:val="24"/>
              </w:rPr>
              <w:t>GB8979-1996</w:t>
            </w:r>
            <w:r w:rsidRPr="009E2C03">
              <w:rPr>
                <w:rFonts w:ascii="Times New Roman" w:eastAsia="楷体" w:hAnsi="Times New Roman" w:hint="eastAsia"/>
                <w:sz w:val="24"/>
                <w:szCs w:val="24"/>
              </w:rPr>
              <w:t>《污水综合排放标准》、《</w:t>
            </w:r>
            <w:r w:rsidRPr="009E2C03">
              <w:rPr>
                <w:rFonts w:ascii="Times New Roman" w:eastAsia="楷体" w:hAnsi="Times New Roman" w:hint="eastAsia"/>
                <w:sz w:val="24"/>
                <w:szCs w:val="24"/>
              </w:rPr>
              <w:t>经开区污水处理厂接管标准</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（三级）</w:t>
            </w:r>
          </w:p>
        </w:tc>
      </w:tr>
      <w:tr w:rsidR="000C671F" w:rsidTr="009E2C03">
        <w:trPr>
          <w:trHeight w:val="697"/>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核定的排放</w:t>
            </w:r>
          </w:p>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总量</w:t>
            </w:r>
          </w:p>
        </w:tc>
        <w:tc>
          <w:tcPr>
            <w:tcW w:w="6701" w:type="dxa"/>
            <w:gridSpan w:val="3"/>
            <w:shd w:val="clear" w:color="auto" w:fill="auto"/>
            <w:vAlign w:val="center"/>
          </w:tcPr>
          <w:p w:rsidR="000C671F" w:rsidRPr="009E2C03" w:rsidRDefault="009E2C03" w:rsidP="009E2C03">
            <w:pPr>
              <w:adjustRightInd w:val="0"/>
              <w:snapToGrid w:val="0"/>
              <w:jc w:val="center"/>
              <w:rPr>
                <w:rFonts w:ascii="Times New Roman" w:eastAsia="楷体" w:hAnsi="Times New Roman"/>
                <w:sz w:val="24"/>
                <w:szCs w:val="24"/>
              </w:rPr>
            </w:pPr>
            <w:r w:rsidRPr="009E2C03">
              <w:rPr>
                <w:rFonts w:ascii="Times New Roman" w:eastAsia="楷体" w:hAnsi="Times New Roman" w:hint="eastAsia"/>
                <w:sz w:val="24"/>
                <w:szCs w:val="24"/>
              </w:rPr>
              <w:t>废气：ＮＯｘ许可排放量：</w:t>
            </w:r>
            <w:r w:rsidRPr="009E2C03">
              <w:rPr>
                <w:rFonts w:ascii="Times New Roman" w:eastAsia="楷体" w:hAnsi="Times New Roman" w:hint="eastAsia"/>
                <w:sz w:val="24"/>
                <w:szCs w:val="24"/>
              </w:rPr>
              <w:t>3.263490</w:t>
            </w:r>
            <w:r w:rsidRPr="009E2C03">
              <w:rPr>
                <w:rFonts w:ascii="Times New Roman" w:eastAsia="楷体" w:hAnsi="Times New Roman" w:hint="eastAsia"/>
                <w:sz w:val="24"/>
                <w:szCs w:val="24"/>
              </w:rPr>
              <w:t>吨</w:t>
            </w:r>
          </w:p>
          <w:p w:rsidR="000C671F" w:rsidRPr="009E2C03" w:rsidRDefault="009E2C03" w:rsidP="009E2C03">
            <w:pPr>
              <w:adjustRightInd w:val="0"/>
              <w:snapToGrid w:val="0"/>
              <w:jc w:val="center"/>
              <w:rPr>
                <w:rFonts w:ascii="Times New Roman" w:eastAsia="楷体" w:hAnsi="Times New Roman"/>
                <w:sz w:val="24"/>
                <w:szCs w:val="24"/>
              </w:rPr>
            </w:pPr>
            <w:r w:rsidRPr="009E2C03">
              <w:rPr>
                <w:rFonts w:ascii="Times New Roman" w:eastAsia="楷体" w:hAnsi="Times New Roman" w:hint="eastAsia"/>
                <w:sz w:val="24"/>
                <w:szCs w:val="24"/>
              </w:rPr>
              <w:t>废水：</w:t>
            </w:r>
            <w:proofErr w:type="spellStart"/>
            <w:r w:rsidRPr="009E2C03">
              <w:rPr>
                <w:rFonts w:ascii="Times New Roman" w:eastAsia="楷体" w:hAnsi="Times New Roman" w:hint="eastAsia"/>
                <w:sz w:val="24"/>
                <w:szCs w:val="24"/>
              </w:rPr>
              <w:t>CODcr</w:t>
            </w:r>
            <w:proofErr w:type="spellEnd"/>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91.193850</w:t>
            </w:r>
            <w:r w:rsidRPr="009E2C03">
              <w:rPr>
                <w:rFonts w:ascii="Times New Roman" w:eastAsia="楷体" w:hAnsi="Times New Roman" w:hint="eastAsia"/>
                <w:sz w:val="24"/>
                <w:szCs w:val="24"/>
              </w:rPr>
              <w:t>吨；氨氮：</w:t>
            </w:r>
            <w:r w:rsidRPr="009E2C03">
              <w:rPr>
                <w:rFonts w:ascii="Times New Roman" w:eastAsia="楷体" w:hAnsi="Times New Roman" w:hint="eastAsia"/>
                <w:sz w:val="24"/>
                <w:szCs w:val="24"/>
              </w:rPr>
              <w:t>5.526900</w:t>
            </w:r>
            <w:r w:rsidRPr="009E2C03">
              <w:rPr>
                <w:rFonts w:ascii="Times New Roman" w:eastAsia="楷体" w:hAnsi="Times New Roman" w:hint="eastAsia"/>
                <w:sz w:val="24"/>
                <w:szCs w:val="24"/>
              </w:rPr>
              <w:t>吨</w:t>
            </w:r>
          </w:p>
        </w:tc>
      </w:tr>
      <w:tr w:rsidR="000C671F" w:rsidTr="009E2C03">
        <w:trPr>
          <w:trHeight w:val="5931"/>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防治污染设施的建设情况</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废水：</w:t>
            </w:r>
            <w:r w:rsidRPr="009E2C03">
              <w:rPr>
                <w:rFonts w:ascii="Times New Roman" w:eastAsia="楷体" w:hAnsi="Times New Roman" w:hint="eastAsia"/>
                <w:sz w:val="24"/>
                <w:szCs w:val="24"/>
              </w:rPr>
              <w:t>公司有污水处理站</w:t>
            </w:r>
            <w:r w:rsidRPr="009E2C03">
              <w:rPr>
                <w:rFonts w:ascii="Times New Roman" w:eastAsia="楷体" w:hAnsi="Times New Roman" w:hint="eastAsia"/>
                <w:sz w:val="24"/>
                <w:szCs w:val="24"/>
              </w:rPr>
              <w:t>1</w:t>
            </w:r>
            <w:r w:rsidRPr="009E2C03">
              <w:rPr>
                <w:rFonts w:ascii="Times New Roman" w:eastAsia="楷体" w:hAnsi="Times New Roman" w:hint="eastAsia"/>
                <w:sz w:val="24"/>
                <w:szCs w:val="24"/>
              </w:rPr>
              <w:t>座，委托威立雅公司运营管理，</w:t>
            </w:r>
            <w:r w:rsidRPr="009E2C03">
              <w:rPr>
                <w:rFonts w:ascii="Times New Roman" w:eastAsia="楷体" w:hAnsi="Times New Roman" w:hint="eastAsia"/>
                <w:sz w:val="24"/>
                <w:szCs w:val="24"/>
              </w:rPr>
              <w:t>污水处理站采用“物化＋生化</w:t>
            </w:r>
            <w:r w:rsidRPr="009E2C03">
              <w:rPr>
                <w:rFonts w:ascii="Times New Roman" w:eastAsia="楷体" w:hAnsi="Times New Roman"/>
                <w:sz w:val="24"/>
                <w:szCs w:val="24"/>
              </w:rPr>
              <w:t>”</w:t>
            </w:r>
            <w:r w:rsidRPr="009E2C03">
              <w:rPr>
                <w:rFonts w:ascii="Times New Roman" w:eastAsia="楷体" w:hAnsi="Times New Roman" w:hint="eastAsia"/>
                <w:sz w:val="24"/>
                <w:szCs w:val="24"/>
              </w:rPr>
              <w:t>系统处理</w:t>
            </w:r>
            <w:r w:rsidRPr="009E2C03">
              <w:rPr>
                <w:rFonts w:ascii="Times New Roman" w:eastAsia="楷体" w:hAnsi="Times New Roman" w:hint="eastAsia"/>
                <w:sz w:val="24"/>
                <w:szCs w:val="24"/>
              </w:rPr>
              <w:t>后达标排放。污水总排口安装</w:t>
            </w:r>
            <w:r w:rsidRPr="009E2C03">
              <w:rPr>
                <w:rFonts w:ascii="Times New Roman" w:eastAsia="楷体" w:hAnsi="Times New Roman" w:hint="eastAsia"/>
                <w:sz w:val="24"/>
                <w:szCs w:val="24"/>
              </w:rPr>
              <w:t>COD</w:t>
            </w:r>
            <w:r w:rsidRPr="009E2C03">
              <w:rPr>
                <w:rFonts w:ascii="Times New Roman" w:eastAsia="楷体" w:hAnsi="Times New Roman" w:hint="eastAsia"/>
                <w:sz w:val="24"/>
                <w:szCs w:val="24"/>
              </w:rPr>
              <w:t>、氨氮、</w:t>
            </w:r>
            <w:r w:rsidRPr="009E2C03">
              <w:rPr>
                <w:rFonts w:ascii="Times New Roman" w:eastAsia="楷体" w:hAnsi="Times New Roman" w:hint="eastAsia"/>
                <w:sz w:val="24"/>
                <w:szCs w:val="24"/>
              </w:rPr>
              <w:t>PH</w:t>
            </w:r>
            <w:r w:rsidRPr="009E2C03">
              <w:rPr>
                <w:rFonts w:ascii="Times New Roman" w:eastAsia="楷体" w:hAnsi="Times New Roman" w:hint="eastAsia"/>
                <w:sz w:val="24"/>
                <w:szCs w:val="24"/>
              </w:rPr>
              <w:t>、流量在线监测等设备，委托安徽碧水公司维护运营，实现每四小时进行自动检测一次，数据与合肥市经开区环保局、合肥市信息中心联网。</w:t>
            </w:r>
          </w:p>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废气：公司废气污染防治设施</w:t>
            </w:r>
            <w:r w:rsidRPr="009E2C03">
              <w:rPr>
                <w:rFonts w:ascii="Times New Roman" w:eastAsia="楷体" w:hAnsi="Times New Roman" w:hint="eastAsia"/>
                <w:sz w:val="24"/>
                <w:szCs w:val="24"/>
              </w:rPr>
              <w:t>主要包括机械加工油雾过滤器</w:t>
            </w:r>
            <w:proofErr w:type="gramStart"/>
            <w:r w:rsidRPr="009E2C03">
              <w:rPr>
                <w:rFonts w:ascii="Times New Roman" w:eastAsia="楷体" w:hAnsi="Times New Roman" w:hint="eastAsia"/>
                <w:sz w:val="24"/>
                <w:szCs w:val="24"/>
              </w:rPr>
              <w:t>和热试试验台</w:t>
            </w:r>
            <w:proofErr w:type="gramEnd"/>
            <w:r w:rsidRPr="009E2C03">
              <w:rPr>
                <w:rFonts w:ascii="Times New Roman" w:eastAsia="楷体" w:hAnsi="Times New Roman" w:hint="eastAsia"/>
                <w:sz w:val="24"/>
                <w:szCs w:val="24"/>
              </w:rPr>
              <w:t>架尾气处理装置、污水处理站生产性污水处理废气集中净化装置等。机械加工产生的</w:t>
            </w:r>
            <w:proofErr w:type="gramStart"/>
            <w:r w:rsidRPr="009E2C03">
              <w:rPr>
                <w:rFonts w:ascii="Times New Roman" w:eastAsia="楷体" w:hAnsi="Times New Roman" w:hint="eastAsia"/>
                <w:sz w:val="24"/>
                <w:szCs w:val="24"/>
              </w:rPr>
              <w:t>油雾</w:t>
            </w:r>
            <w:r w:rsidRPr="009E2C03">
              <w:rPr>
                <w:rFonts w:ascii="Times New Roman" w:eastAsia="楷体" w:hAnsi="Times New Roman" w:hint="eastAsia"/>
                <w:sz w:val="24"/>
                <w:szCs w:val="24"/>
              </w:rPr>
              <w:t>采用</w:t>
            </w:r>
            <w:proofErr w:type="gramEnd"/>
            <w:r w:rsidRPr="009E2C03">
              <w:rPr>
                <w:rFonts w:ascii="Times New Roman" w:eastAsia="楷体" w:hAnsi="Times New Roman" w:hint="eastAsia"/>
                <w:sz w:val="24"/>
                <w:szCs w:val="24"/>
              </w:rPr>
              <w:t>机械过滤工艺；汽油发动机试验尾气净化采用三元催化处理；柴油发动机试验尾气净化采用“催化氧化</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氧化还原</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颗粒捕捉”</w:t>
            </w:r>
            <w:r w:rsidRPr="009E2C03">
              <w:rPr>
                <w:rFonts w:ascii="Times New Roman" w:eastAsia="楷体" w:hAnsi="Times New Roman" w:hint="eastAsia"/>
                <w:sz w:val="24"/>
                <w:szCs w:val="24"/>
              </w:rPr>
              <w:t>处理；生产性污水处理过程中产生的氨（氨气）、硫化氢、恶臭气体等废气采用“低温等离子</w:t>
            </w:r>
            <w:r w:rsidRPr="009E2C03">
              <w:rPr>
                <w:rFonts w:ascii="Times New Roman" w:eastAsia="楷体" w:hAnsi="Times New Roman" w:hint="eastAsia"/>
                <w:sz w:val="24"/>
                <w:szCs w:val="24"/>
              </w:rPr>
              <w:t>+UV</w:t>
            </w:r>
            <w:r w:rsidRPr="009E2C03">
              <w:rPr>
                <w:rFonts w:ascii="Times New Roman" w:eastAsia="楷体" w:hAnsi="Times New Roman" w:hint="eastAsia"/>
                <w:sz w:val="24"/>
                <w:szCs w:val="24"/>
              </w:rPr>
              <w:t>光解”处理</w:t>
            </w:r>
            <w:r w:rsidRPr="009E2C03">
              <w:rPr>
                <w:rFonts w:ascii="Times New Roman" w:eastAsia="楷体" w:hAnsi="Times New Roman" w:hint="eastAsia"/>
                <w:sz w:val="24"/>
                <w:szCs w:val="24"/>
              </w:rPr>
              <w:t>。</w:t>
            </w:r>
          </w:p>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固废：公司建有</w:t>
            </w:r>
            <w:r w:rsidRPr="009E2C03">
              <w:rPr>
                <w:rFonts w:ascii="Times New Roman" w:eastAsia="楷体" w:hAnsi="Times New Roman" w:hint="eastAsia"/>
                <w:sz w:val="24"/>
                <w:szCs w:val="24"/>
              </w:rPr>
              <w:t>500</w:t>
            </w:r>
            <w:r w:rsidRPr="009E2C03">
              <w:rPr>
                <w:rFonts w:ascii="Times New Roman" w:eastAsia="楷体" w:hAnsi="Times New Roman" w:hint="eastAsia"/>
                <w:sz w:val="24"/>
                <w:szCs w:val="24"/>
              </w:rPr>
              <w:t>㎡的固体废物暂存区和</w:t>
            </w:r>
            <w:r w:rsidRPr="009E2C03">
              <w:rPr>
                <w:rFonts w:ascii="Times New Roman" w:eastAsia="楷体" w:hAnsi="Times New Roman" w:hint="eastAsia"/>
                <w:sz w:val="24"/>
                <w:szCs w:val="24"/>
              </w:rPr>
              <w:t>500</w:t>
            </w:r>
            <w:r w:rsidRPr="009E2C03">
              <w:rPr>
                <w:rFonts w:ascii="Times New Roman" w:eastAsia="楷体" w:hAnsi="Times New Roman" w:hint="eastAsia"/>
                <w:sz w:val="24"/>
                <w:szCs w:val="24"/>
              </w:rPr>
              <w:t>㎡危险废物暂存区，实现危险废物与一般固体废物分区域存放。固体废物暂存区和危险废物暂存区均按照《一般工业固体废物贮存、处置场污染控制标准》、《危险废物贮存污染控制标准》进行建设</w:t>
            </w:r>
            <w:r w:rsidRPr="009E2C03">
              <w:rPr>
                <w:rFonts w:ascii="Times New Roman" w:eastAsia="楷体" w:hAnsi="Times New Roman" w:hint="eastAsia"/>
                <w:sz w:val="24"/>
                <w:szCs w:val="24"/>
              </w:rPr>
              <w:t>，落实了防雨淋、防扬散、防渗漏、耐腐蚀措施。</w:t>
            </w:r>
          </w:p>
        </w:tc>
      </w:tr>
      <w:tr w:rsidR="000C671F" w:rsidTr="009E2C03">
        <w:trPr>
          <w:trHeight w:val="5603"/>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防治污染设施的运行情况</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废水：公司全部生产废水和生活污水经由污水处理站“物化＋生化”处理后，达到合肥市经济技术开发区污水处理厂接管标准后，排入市政污水管网，再经合肥市经济技术开发区污水处理厂处理达标后排放。</w:t>
            </w:r>
          </w:p>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废气：</w:t>
            </w:r>
            <w:proofErr w:type="gramStart"/>
            <w:r w:rsidRPr="009E2C03">
              <w:rPr>
                <w:rFonts w:ascii="Times New Roman" w:eastAsia="楷体" w:hAnsi="Times New Roman" w:hint="eastAsia"/>
                <w:sz w:val="24"/>
                <w:szCs w:val="24"/>
              </w:rPr>
              <w:t>公司机</w:t>
            </w:r>
            <w:proofErr w:type="gramEnd"/>
            <w:r w:rsidRPr="009E2C03">
              <w:rPr>
                <w:rFonts w:ascii="Times New Roman" w:eastAsia="楷体" w:hAnsi="Times New Roman" w:hint="eastAsia"/>
                <w:sz w:val="24"/>
                <w:szCs w:val="24"/>
              </w:rPr>
              <w:t>加工工厂机械加工产生的</w:t>
            </w:r>
            <w:proofErr w:type="gramStart"/>
            <w:r w:rsidRPr="009E2C03">
              <w:rPr>
                <w:rFonts w:ascii="Times New Roman" w:eastAsia="楷体" w:hAnsi="Times New Roman" w:hint="eastAsia"/>
                <w:sz w:val="24"/>
                <w:szCs w:val="24"/>
              </w:rPr>
              <w:t>油雾经</w:t>
            </w:r>
            <w:proofErr w:type="gramEnd"/>
            <w:r w:rsidRPr="009E2C03">
              <w:rPr>
                <w:rFonts w:ascii="Times New Roman" w:eastAsia="楷体" w:hAnsi="Times New Roman" w:hint="eastAsia"/>
                <w:sz w:val="24"/>
                <w:szCs w:val="24"/>
              </w:rPr>
              <w:t>机械过滤后经</w:t>
            </w:r>
            <w:r w:rsidRPr="009E2C03">
              <w:rPr>
                <w:rFonts w:ascii="Times New Roman" w:eastAsia="楷体" w:hAnsi="Times New Roman" w:hint="eastAsia"/>
                <w:sz w:val="24"/>
                <w:szCs w:val="24"/>
              </w:rPr>
              <w:t>57</w:t>
            </w:r>
            <w:r w:rsidRPr="009E2C03">
              <w:rPr>
                <w:rFonts w:ascii="Times New Roman" w:eastAsia="楷体" w:hAnsi="Times New Roman" w:hint="eastAsia"/>
                <w:sz w:val="24"/>
                <w:szCs w:val="24"/>
              </w:rPr>
              <w:t>根</w:t>
            </w:r>
            <w:r w:rsidRPr="009E2C03">
              <w:rPr>
                <w:rFonts w:ascii="Times New Roman" w:eastAsia="楷体" w:hAnsi="Times New Roman" w:hint="eastAsia"/>
                <w:sz w:val="24"/>
                <w:szCs w:val="24"/>
              </w:rPr>
              <w:t>15m</w:t>
            </w:r>
            <w:r w:rsidRPr="009E2C03">
              <w:rPr>
                <w:rFonts w:ascii="Times New Roman" w:eastAsia="楷体" w:hAnsi="Times New Roman" w:hint="eastAsia"/>
                <w:sz w:val="24"/>
                <w:szCs w:val="24"/>
              </w:rPr>
              <w:t>高排气筒达标排放；发动机公司装调工厂汽油发动机试验产生的挥发性有机物（以非甲烷总烃计）、氮氧化物经三元催化处理后经</w:t>
            </w:r>
            <w:r w:rsidRPr="009E2C03">
              <w:rPr>
                <w:rFonts w:ascii="Times New Roman" w:eastAsia="楷体" w:hAnsi="Times New Roman" w:hint="eastAsia"/>
                <w:sz w:val="24"/>
                <w:szCs w:val="24"/>
              </w:rPr>
              <w:t>7</w:t>
            </w:r>
            <w:r w:rsidRPr="009E2C03">
              <w:rPr>
                <w:rFonts w:ascii="Times New Roman" w:eastAsia="楷体" w:hAnsi="Times New Roman" w:hint="eastAsia"/>
                <w:sz w:val="24"/>
                <w:szCs w:val="24"/>
              </w:rPr>
              <w:t>根</w:t>
            </w:r>
            <w:r w:rsidRPr="009E2C03">
              <w:rPr>
                <w:rFonts w:ascii="Times New Roman" w:eastAsia="楷体" w:hAnsi="Times New Roman" w:hint="eastAsia"/>
                <w:sz w:val="24"/>
                <w:szCs w:val="24"/>
              </w:rPr>
              <w:t>15m</w:t>
            </w:r>
            <w:r w:rsidRPr="009E2C03">
              <w:rPr>
                <w:rFonts w:ascii="Times New Roman" w:eastAsia="楷体" w:hAnsi="Times New Roman" w:hint="eastAsia"/>
                <w:sz w:val="24"/>
                <w:szCs w:val="24"/>
              </w:rPr>
              <w:t>高排气筒达标排放；装调工厂柴油发动机试验产生的挥发性有机物（以非甲烷总烃计）、颗粒物、二氧化硫、氮氧化物经“催化氧化</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氧化还原</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颗粒捕</w:t>
            </w:r>
            <w:r w:rsidRPr="009E2C03">
              <w:rPr>
                <w:rFonts w:ascii="Times New Roman" w:eastAsia="楷体" w:hAnsi="Times New Roman" w:hint="eastAsia"/>
                <w:sz w:val="24"/>
                <w:szCs w:val="24"/>
              </w:rPr>
              <w:t>捉”处</w:t>
            </w:r>
            <w:r w:rsidRPr="009E2C03">
              <w:rPr>
                <w:rFonts w:ascii="Times New Roman" w:eastAsia="楷体" w:hAnsi="Times New Roman" w:hint="eastAsia"/>
                <w:sz w:val="24"/>
                <w:szCs w:val="24"/>
              </w:rPr>
              <w:t>理后经</w:t>
            </w:r>
            <w:r w:rsidRPr="009E2C03">
              <w:rPr>
                <w:rFonts w:ascii="Times New Roman" w:eastAsia="楷体" w:hAnsi="Times New Roman" w:hint="eastAsia"/>
                <w:sz w:val="24"/>
                <w:szCs w:val="24"/>
              </w:rPr>
              <w:t>1</w:t>
            </w:r>
            <w:r w:rsidRPr="009E2C03">
              <w:rPr>
                <w:rFonts w:ascii="Times New Roman" w:eastAsia="楷体" w:hAnsi="Times New Roman" w:hint="eastAsia"/>
                <w:sz w:val="24"/>
                <w:szCs w:val="24"/>
              </w:rPr>
              <w:t>根</w:t>
            </w:r>
            <w:r w:rsidRPr="009E2C03">
              <w:rPr>
                <w:rFonts w:ascii="Times New Roman" w:eastAsia="楷体" w:hAnsi="Times New Roman" w:hint="eastAsia"/>
                <w:sz w:val="24"/>
                <w:szCs w:val="24"/>
              </w:rPr>
              <w:t>28m</w:t>
            </w:r>
            <w:r w:rsidRPr="009E2C03">
              <w:rPr>
                <w:rFonts w:ascii="Times New Roman" w:eastAsia="楷体" w:hAnsi="Times New Roman" w:hint="eastAsia"/>
                <w:sz w:val="24"/>
                <w:szCs w:val="24"/>
              </w:rPr>
              <w:t>高排气筒达标排放；生产性污水处理过程中产生的氨（氨气）、硫化氢、恶臭气体等废气由集气罩收集并通过“低温等离子</w:t>
            </w:r>
            <w:r w:rsidRPr="009E2C03">
              <w:rPr>
                <w:rFonts w:ascii="Times New Roman" w:eastAsia="楷体" w:hAnsi="Times New Roman" w:hint="eastAsia"/>
                <w:sz w:val="24"/>
                <w:szCs w:val="24"/>
              </w:rPr>
              <w:t>+UV</w:t>
            </w:r>
            <w:r w:rsidRPr="009E2C03">
              <w:rPr>
                <w:rFonts w:ascii="Times New Roman" w:eastAsia="楷体" w:hAnsi="Times New Roman" w:hint="eastAsia"/>
                <w:sz w:val="24"/>
                <w:szCs w:val="24"/>
              </w:rPr>
              <w:t>光解”处理后经</w:t>
            </w:r>
            <w:r w:rsidRPr="009E2C03">
              <w:rPr>
                <w:rFonts w:ascii="Times New Roman" w:eastAsia="楷体" w:hAnsi="Times New Roman" w:hint="eastAsia"/>
                <w:sz w:val="24"/>
                <w:szCs w:val="24"/>
              </w:rPr>
              <w:t>1</w:t>
            </w:r>
            <w:r w:rsidRPr="009E2C03">
              <w:rPr>
                <w:rFonts w:ascii="Times New Roman" w:eastAsia="楷体" w:hAnsi="Times New Roman" w:hint="eastAsia"/>
                <w:sz w:val="24"/>
                <w:szCs w:val="24"/>
              </w:rPr>
              <w:t>根</w:t>
            </w:r>
            <w:r w:rsidRPr="009E2C03">
              <w:rPr>
                <w:rFonts w:ascii="Times New Roman" w:eastAsia="楷体" w:hAnsi="Times New Roman" w:hint="eastAsia"/>
                <w:sz w:val="24"/>
                <w:szCs w:val="24"/>
              </w:rPr>
              <w:t>15m</w:t>
            </w:r>
            <w:r w:rsidRPr="009E2C03">
              <w:rPr>
                <w:rFonts w:ascii="Times New Roman" w:eastAsia="楷体" w:hAnsi="Times New Roman" w:hint="eastAsia"/>
                <w:sz w:val="24"/>
                <w:szCs w:val="24"/>
              </w:rPr>
              <w:t>高排气筒达标排放。</w:t>
            </w:r>
            <w:r w:rsidRPr="009E2C03">
              <w:rPr>
                <w:rFonts w:ascii="Times New Roman" w:eastAsia="楷体" w:hAnsi="Times New Roman" w:hint="eastAsia"/>
                <w:sz w:val="24"/>
                <w:szCs w:val="24"/>
              </w:rPr>
              <w:br/>
            </w:r>
            <w:r w:rsidRPr="009E2C03">
              <w:rPr>
                <w:rFonts w:ascii="Times New Roman" w:eastAsia="楷体" w:hAnsi="Times New Roman" w:hint="eastAsia"/>
                <w:sz w:val="24"/>
                <w:szCs w:val="24"/>
              </w:rPr>
              <w:t>固废：公司生产过程中产生的铁屑</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铝屑回收利用；化工空桶、污水处理污泥、胶尾、油棉纱</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滤布、废油、废矿物油泥等危险废物委托转移至有资质单位处置。</w:t>
            </w:r>
            <w:r w:rsidRPr="009E2C03">
              <w:rPr>
                <w:rFonts w:ascii="Times New Roman" w:eastAsia="楷体" w:hAnsi="Times New Roman" w:hint="eastAsia"/>
                <w:sz w:val="24"/>
                <w:szCs w:val="24"/>
              </w:rPr>
              <w:t xml:space="preserve"> </w:t>
            </w:r>
          </w:p>
          <w:p w:rsidR="000C671F" w:rsidRPr="009E2C03" w:rsidRDefault="000C671F" w:rsidP="009E2C03">
            <w:pPr>
              <w:adjustRightInd w:val="0"/>
              <w:snapToGrid w:val="0"/>
              <w:rPr>
                <w:rFonts w:ascii="Times New Roman" w:eastAsia="楷体" w:hAnsi="Times New Roman"/>
                <w:sz w:val="24"/>
                <w:szCs w:val="24"/>
              </w:rPr>
            </w:pPr>
          </w:p>
        </w:tc>
      </w:tr>
      <w:tr w:rsidR="000C671F" w:rsidTr="009E2C03">
        <w:trPr>
          <w:trHeight w:val="652"/>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lastRenderedPageBreak/>
              <w:t>建设项目环境影响评价</w:t>
            </w:r>
          </w:p>
        </w:tc>
        <w:tc>
          <w:tcPr>
            <w:tcW w:w="6701" w:type="dxa"/>
            <w:gridSpan w:val="3"/>
            <w:shd w:val="clear" w:color="auto" w:fill="auto"/>
            <w:vAlign w:val="center"/>
          </w:tcPr>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“安徽江淮汽车股份有限公司发动机缸体缸盖生产线投资项目”于</w:t>
            </w:r>
            <w:r w:rsidRPr="009E2C03">
              <w:rPr>
                <w:rFonts w:ascii="Times New Roman" w:eastAsia="楷体" w:hAnsi="Times New Roman" w:hint="eastAsia"/>
                <w:sz w:val="24"/>
                <w:szCs w:val="24"/>
              </w:rPr>
              <w:t>2006</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11</w:t>
            </w:r>
            <w:r w:rsidRPr="009E2C03">
              <w:rPr>
                <w:rFonts w:ascii="Times New Roman" w:eastAsia="楷体" w:hAnsi="Times New Roman" w:hint="eastAsia"/>
                <w:sz w:val="24"/>
                <w:szCs w:val="24"/>
              </w:rPr>
              <w:t>月获得合肥市环境保护局环境影响报告书的批复，批复文号：环建审［</w:t>
            </w:r>
            <w:r w:rsidRPr="009E2C03">
              <w:rPr>
                <w:rFonts w:ascii="Times New Roman" w:eastAsia="楷体" w:hAnsi="Times New Roman" w:hint="eastAsia"/>
                <w:sz w:val="24"/>
                <w:szCs w:val="24"/>
              </w:rPr>
              <w:t>2006</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723</w:t>
            </w:r>
            <w:r w:rsidRPr="009E2C03">
              <w:rPr>
                <w:rFonts w:ascii="Times New Roman" w:eastAsia="楷体" w:hAnsi="Times New Roman" w:hint="eastAsia"/>
                <w:sz w:val="24"/>
                <w:szCs w:val="24"/>
              </w:rPr>
              <w:t>号，于</w:t>
            </w:r>
            <w:r w:rsidRPr="009E2C03">
              <w:rPr>
                <w:rFonts w:ascii="Times New Roman" w:eastAsia="楷体" w:hAnsi="Times New Roman" w:hint="eastAsia"/>
                <w:sz w:val="24"/>
                <w:szCs w:val="24"/>
              </w:rPr>
              <w:t>2009</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7</w:t>
            </w:r>
            <w:r w:rsidRPr="009E2C03">
              <w:rPr>
                <w:rFonts w:ascii="Times New Roman" w:eastAsia="楷体" w:hAnsi="Times New Roman" w:hint="eastAsia"/>
                <w:sz w:val="24"/>
                <w:szCs w:val="24"/>
              </w:rPr>
              <w:t>月通过合肥市环境保护局《关于安徽江淮汽车股份有限公司发动机缸体缸盖生产线投资项目竣工环境保护验收意见的函》（</w:t>
            </w:r>
            <w:proofErr w:type="gramStart"/>
            <w:r w:rsidRPr="009E2C03">
              <w:rPr>
                <w:rFonts w:ascii="Times New Roman" w:eastAsia="楷体" w:hAnsi="Times New Roman" w:hint="eastAsia"/>
                <w:sz w:val="24"/>
                <w:szCs w:val="24"/>
              </w:rPr>
              <w:t>合环验</w:t>
            </w:r>
            <w:proofErr w:type="gramEnd"/>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2009</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131</w:t>
            </w:r>
            <w:r w:rsidRPr="009E2C03">
              <w:rPr>
                <w:rFonts w:ascii="Times New Roman" w:eastAsia="楷体" w:hAnsi="Times New Roman" w:hint="eastAsia"/>
                <w:sz w:val="24"/>
                <w:szCs w:val="24"/>
              </w:rPr>
              <w:t>号）。</w:t>
            </w:r>
          </w:p>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“安徽江淮汽车股份有限公司发动机总装试验生产线投资项目”于</w:t>
            </w:r>
            <w:r w:rsidRPr="009E2C03">
              <w:rPr>
                <w:rFonts w:ascii="Times New Roman" w:eastAsia="楷体" w:hAnsi="Times New Roman" w:hint="eastAsia"/>
                <w:sz w:val="24"/>
                <w:szCs w:val="24"/>
              </w:rPr>
              <w:t>2006</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11</w:t>
            </w:r>
            <w:r w:rsidRPr="009E2C03">
              <w:rPr>
                <w:rFonts w:ascii="Times New Roman" w:eastAsia="楷体" w:hAnsi="Times New Roman" w:hint="eastAsia"/>
                <w:sz w:val="24"/>
                <w:szCs w:val="24"/>
              </w:rPr>
              <w:t>月获得合肥市环境保护局环境影响报告书的批复，批复文号：环建审［</w:t>
            </w:r>
            <w:r w:rsidRPr="009E2C03">
              <w:rPr>
                <w:rFonts w:ascii="Times New Roman" w:eastAsia="楷体" w:hAnsi="Times New Roman" w:hint="eastAsia"/>
                <w:sz w:val="24"/>
                <w:szCs w:val="24"/>
              </w:rPr>
              <w:t>2006</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724</w:t>
            </w:r>
            <w:r w:rsidRPr="009E2C03">
              <w:rPr>
                <w:rFonts w:ascii="Times New Roman" w:eastAsia="楷体" w:hAnsi="Times New Roman" w:hint="eastAsia"/>
                <w:sz w:val="24"/>
                <w:szCs w:val="24"/>
              </w:rPr>
              <w:t>号，于</w:t>
            </w:r>
            <w:r w:rsidRPr="009E2C03">
              <w:rPr>
                <w:rFonts w:ascii="Times New Roman" w:eastAsia="楷体" w:hAnsi="Times New Roman" w:hint="eastAsia"/>
                <w:sz w:val="24"/>
                <w:szCs w:val="24"/>
              </w:rPr>
              <w:t>2009</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7</w:t>
            </w:r>
            <w:r w:rsidRPr="009E2C03">
              <w:rPr>
                <w:rFonts w:ascii="Times New Roman" w:eastAsia="楷体" w:hAnsi="Times New Roman" w:hint="eastAsia"/>
                <w:sz w:val="24"/>
                <w:szCs w:val="24"/>
              </w:rPr>
              <w:t>月通过合肥市环境保护局《关于安徽江淮汽车股份有限公司发动机总装试验生产线投资项目竣工环境保护验收意见的函》（</w:t>
            </w:r>
            <w:proofErr w:type="gramStart"/>
            <w:r w:rsidRPr="009E2C03">
              <w:rPr>
                <w:rFonts w:ascii="Times New Roman" w:eastAsia="楷体" w:hAnsi="Times New Roman" w:hint="eastAsia"/>
                <w:sz w:val="24"/>
                <w:szCs w:val="24"/>
              </w:rPr>
              <w:t>合环验</w:t>
            </w:r>
            <w:proofErr w:type="gramEnd"/>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2009</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133</w:t>
            </w:r>
            <w:r w:rsidRPr="009E2C03">
              <w:rPr>
                <w:rFonts w:ascii="Times New Roman" w:eastAsia="楷体" w:hAnsi="Times New Roman" w:hint="eastAsia"/>
                <w:sz w:val="24"/>
                <w:szCs w:val="24"/>
              </w:rPr>
              <w:t>号）。</w:t>
            </w:r>
          </w:p>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 xml:space="preserve">    </w:t>
            </w:r>
            <w:r w:rsidRPr="009E2C03">
              <w:rPr>
                <w:rFonts w:ascii="Times New Roman" w:eastAsia="楷体" w:hAnsi="Times New Roman" w:hint="eastAsia"/>
                <w:sz w:val="24"/>
                <w:szCs w:val="24"/>
              </w:rPr>
              <w:t>“安徽江淮汽车股份有限公司年产</w:t>
            </w:r>
            <w:r w:rsidRPr="009E2C03">
              <w:rPr>
                <w:rFonts w:ascii="Times New Roman" w:eastAsia="楷体" w:hAnsi="Times New Roman" w:hint="eastAsia"/>
                <w:sz w:val="24"/>
                <w:szCs w:val="24"/>
              </w:rPr>
              <w:t>20</w:t>
            </w:r>
            <w:r w:rsidRPr="009E2C03">
              <w:rPr>
                <w:rFonts w:ascii="Times New Roman" w:eastAsia="楷体" w:hAnsi="Times New Roman" w:hint="eastAsia"/>
                <w:sz w:val="24"/>
                <w:szCs w:val="24"/>
              </w:rPr>
              <w:t>万台小排量汽油发动机</w:t>
            </w:r>
            <w:r w:rsidRPr="009E2C03">
              <w:rPr>
                <w:rFonts w:ascii="Times New Roman" w:eastAsia="楷体" w:hAnsi="Times New Roman" w:hint="eastAsia"/>
                <w:sz w:val="24"/>
                <w:szCs w:val="24"/>
              </w:rPr>
              <w:t>项目”于</w:t>
            </w:r>
            <w:r w:rsidRPr="009E2C03">
              <w:rPr>
                <w:rFonts w:ascii="Times New Roman" w:eastAsia="楷体" w:hAnsi="Times New Roman" w:hint="eastAsia"/>
                <w:sz w:val="24"/>
                <w:szCs w:val="24"/>
              </w:rPr>
              <w:t>2008</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4</w:t>
            </w:r>
            <w:r w:rsidRPr="009E2C03">
              <w:rPr>
                <w:rFonts w:ascii="Times New Roman" w:eastAsia="楷体" w:hAnsi="Times New Roman" w:hint="eastAsia"/>
                <w:sz w:val="24"/>
                <w:szCs w:val="24"/>
              </w:rPr>
              <w:t>月获得安徽省环境保护厅环境影响报告书的批复，批复文号：环评函［</w:t>
            </w:r>
            <w:r w:rsidRPr="009E2C03">
              <w:rPr>
                <w:rFonts w:ascii="Times New Roman" w:eastAsia="楷体" w:hAnsi="Times New Roman" w:hint="eastAsia"/>
                <w:sz w:val="24"/>
                <w:szCs w:val="24"/>
              </w:rPr>
              <w:t>2008</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334</w:t>
            </w:r>
            <w:r w:rsidRPr="009E2C03">
              <w:rPr>
                <w:rFonts w:ascii="Times New Roman" w:eastAsia="楷体" w:hAnsi="Times New Roman" w:hint="eastAsia"/>
                <w:sz w:val="24"/>
                <w:szCs w:val="24"/>
              </w:rPr>
              <w:t>号，于</w:t>
            </w:r>
            <w:r w:rsidRPr="009E2C03">
              <w:rPr>
                <w:rFonts w:ascii="Times New Roman" w:eastAsia="楷体" w:hAnsi="Times New Roman" w:hint="eastAsia"/>
                <w:sz w:val="24"/>
                <w:szCs w:val="24"/>
              </w:rPr>
              <w:t>2010</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10</w:t>
            </w:r>
            <w:r w:rsidRPr="009E2C03">
              <w:rPr>
                <w:rFonts w:ascii="Times New Roman" w:eastAsia="楷体" w:hAnsi="Times New Roman" w:hint="eastAsia"/>
                <w:sz w:val="24"/>
                <w:szCs w:val="24"/>
              </w:rPr>
              <w:t>月通过安徽省环境保护厅《关于安徽江淮汽车股份有限公司年产</w:t>
            </w:r>
            <w:r w:rsidRPr="009E2C03">
              <w:rPr>
                <w:rFonts w:ascii="Times New Roman" w:eastAsia="楷体" w:hAnsi="Times New Roman" w:hint="eastAsia"/>
                <w:sz w:val="24"/>
                <w:szCs w:val="24"/>
              </w:rPr>
              <w:t>20</w:t>
            </w:r>
            <w:r w:rsidRPr="009E2C03">
              <w:rPr>
                <w:rFonts w:ascii="Times New Roman" w:eastAsia="楷体" w:hAnsi="Times New Roman" w:hint="eastAsia"/>
                <w:sz w:val="24"/>
                <w:szCs w:val="24"/>
              </w:rPr>
              <w:t>万台小排量汽油发动机项目竣工环境保护验收意见的函》（环评函［</w:t>
            </w:r>
            <w:r w:rsidRPr="009E2C03">
              <w:rPr>
                <w:rFonts w:ascii="Times New Roman" w:eastAsia="楷体" w:hAnsi="Times New Roman" w:hint="eastAsia"/>
                <w:sz w:val="24"/>
                <w:szCs w:val="24"/>
              </w:rPr>
              <w:t>2010</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1003</w:t>
            </w:r>
            <w:r w:rsidRPr="009E2C03">
              <w:rPr>
                <w:rFonts w:ascii="Times New Roman" w:eastAsia="楷体" w:hAnsi="Times New Roman" w:hint="eastAsia"/>
                <w:sz w:val="24"/>
                <w:szCs w:val="24"/>
              </w:rPr>
              <w:t>号）。</w:t>
            </w:r>
          </w:p>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 xml:space="preserve">    </w:t>
            </w:r>
            <w:r w:rsidRPr="009E2C03">
              <w:rPr>
                <w:rFonts w:ascii="Times New Roman" w:eastAsia="楷体" w:hAnsi="Times New Roman" w:hint="eastAsia"/>
                <w:sz w:val="24"/>
                <w:szCs w:val="24"/>
              </w:rPr>
              <w:t>“安徽江淮汽车股份有限公司年产</w:t>
            </w:r>
            <w:r w:rsidRPr="009E2C03">
              <w:rPr>
                <w:rFonts w:ascii="Times New Roman" w:eastAsia="楷体" w:hAnsi="Times New Roman" w:hint="eastAsia"/>
                <w:sz w:val="24"/>
                <w:szCs w:val="24"/>
              </w:rPr>
              <w:t>20</w:t>
            </w:r>
            <w:r w:rsidRPr="009E2C03">
              <w:rPr>
                <w:rFonts w:ascii="Times New Roman" w:eastAsia="楷体" w:hAnsi="Times New Roman" w:hint="eastAsia"/>
                <w:sz w:val="24"/>
                <w:szCs w:val="24"/>
              </w:rPr>
              <w:t>万台高性能汽油发动机项目”于</w:t>
            </w:r>
            <w:r w:rsidRPr="009E2C03">
              <w:rPr>
                <w:rFonts w:ascii="Times New Roman" w:eastAsia="楷体" w:hAnsi="Times New Roman" w:hint="eastAsia"/>
                <w:sz w:val="24"/>
                <w:szCs w:val="24"/>
              </w:rPr>
              <w:t>2011</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4</w:t>
            </w:r>
            <w:r w:rsidRPr="009E2C03">
              <w:rPr>
                <w:rFonts w:ascii="Times New Roman" w:eastAsia="楷体" w:hAnsi="Times New Roman" w:hint="eastAsia"/>
                <w:sz w:val="24"/>
                <w:szCs w:val="24"/>
              </w:rPr>
              <w:t>月获得合肥市环境保护局环境影响报告书的批复，批复文号：环建审［</w:t>
            </w:r>
            <w:r w:rsidRPr="009E2C03">
              <w:rPr>
                <w:rFonts w:ascii="Times New Roman" w:eastAsia="楷体" w:hAnsi="Times New Roman" w:hint="eastAsia"/>
                <w:sz w:val="24"/>
                <w:szCs w:val="24"/>
              </w:rPr>
              <w:t>2011</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141</w:t>
            </w:r>
            <w:r w:rsidRPr="009E2C03">
              <w:rPr>
                <w:rFonts w:ascii="Times New Roman" w:eastAsia="楷体" w:hAnsi="Times New Roman" w:hint="eastAsia"/>
                <w:sz w:val="24"/>
                <w:szCs w:val="24"/>
              </w:rPr>
              <w:t>号，于</w:t>
            </w:r>
            <w:r w:rsidRPr="009E2C03">
              <w:rPr>
                <w:rFonts w:ascii="Times New Roman" w:eastAsia="楷体" w:hAnsi="Times New Roman" w:hint="eastAsia"/>
                <w:sz w:val="24"/>
                <w:szCs w:val="24"/>
              </w:rPr>
              <w:t>2010</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10</w:t>
            </w:r>
            <w:r w:rsidRPr="009E2C03">
              <w:rPr>
                <w:rFonts w:ascii="Times New Roman" w:eastAsia="楷体" w:hAnsi="Times New Roman" w:hint="eastAsia"/>
                <w:sz w:val="24"/>
                <w:szCs w:val="24"/>
              </w:rPr>
              <w:t>月通过安徽省环境保护厅《关于安徽江淮汽车股份有限公司年产</w:t>
            </w:r>
            <w:r w:rsidRPr="009E2C03">
              <w:rPr>
                <w:rFonts w:ascii="Times New Roman" w:eastAsia="楷体" w:hAnsi="Times New Roman" w:hint="eastAsia"/>
                <w:sz w:val="24"/>
                <w:szCs w:val="24"/>
              </w:rPr>
              <w:t>20</w:t>
            </w:r>
            <w:r w:rsidRPr="009E2C03">
              <w:rPr>
                <w:rFonts w:ascii="Times New Roman" w:eastAsia="楷体" w:hAnsi="Times New Roman" w:hint="eastAsia"/>
                <w:sz w:val="24"/>
                <w:szCs w:val="24"/>
              </w:rPr>
              <w:t>万台高性</w:t>
            </w:r>
            <w:r w:rsidRPr="009E2C03">
              <w:rPr>
                <w:rFonts w:ascii="Times New Roman" w:eastAsia="楷体" w:hAnsi="Times New Roman" w:hint="eastAsia"/>
                <w:sz w:val="24"/>
                <w:szCs w:val="24"/>
              </w:rPr>
              <w:t>能汽油发动机项目竣工环境保护验收意见的函》（</w:t>
            </w:r>
            <w:proofErr w:type="gramStart"/>
            <w:r w:rsidRPr="009E2C03">
              <w:rPr>
                <w:rFonts w:ascii="Times New Roman" w:eastAsia="楷体" w:hAnsi="Times New Roman" w:hint="eastAsia"/>
                <w:sz w:val="24"/>
                <w:szCs w:val="24"/>
              </w:rPr>
              <w:t>合环验</w:t>
            </w:r>
            <w:proofErr w:type="gramEnd"/>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2014</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139</w:t>
            </w:r>
            <w:r w:rsidRPr="009E2C03">
              <w:rPr>
                <w:rFonts w:ascii="Times New Roman" w:eastAsia="楷体" w:hAnsi="Times New Roman" w:hint="eastAsia"/>
                <w:sz w:val="24"/>
                <w:szCs w:val="24"/>
              </w:rPr>
              <w:t>号）。</w:t>
            </w:r>
          </w:p>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 xml:space="preserve">    </w:t>
            </w:r>
            <w:r w:rsidRPr="009E2C03">
              <w:rPr>
                <w:rFonts w:ascii="Times New Roman" w:eastAsia="楷体" w:hAnsi="Times New Roman" w:hint="eastAsia"/>
                <w:sz w:val="24"/>
                <w:szCs w:val="24"/>
              </w:rPr>
              <w:t>“安徽江淮汽车股份有限公司年产</w:t>
            </w:r>
            <w:r w:rsidRPr="009E2C03">
              <w:rPr>
                <w:rFonts w:ascii="Times New Roman" w:eastAsia="楷体" w:hAnsi="Times New Roman" w:hint="eastAsia"/>
                <w:sz w:val="24"/>
                <w:szCs w:val="24"/>
              </w:rPr>
              <w:t>15</w:t>
            </w:r>
            <w:r w:rsidRPr="009E2C03">
              <w:rPr>
                <w:rFonts w:ascii="Times New Roman" w:eastAsia="楷体" w:hAnsi="Times New Roman" w:hint="eastAsia"/>
                <w:sz w:val="24"/>
                <w:szCs w:val="24"/>
              </w:rPr>
              <w:t>万台双离合自动变速器建设项目”于</w:t>
            </w:r>
            <w:r w:rsidRPr="009E2C03">
              <w:rPr>
                <w:rFonts w:ascii="Times New Roman" w:eastAsia="楷体" w:hAnsi="Times New Roman" w:hint="eastAsia"/>
                <w:sz w:val="24"/>
                <w:szCs w:val="24"/>
              </w:rPr>
              <w:t>2012</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4</w:t>
            </w:r>
            <w:r w:rsidRPr="009E2C03">
              <w:rPr>
                <w:rFonts w:ascii="Times New Roman" w:eastAsia="楷体" w:hAnsi="Times New Roman" w:hint="eastAsia"/>
                <w:sz w:val="24"/>
                <w:szCs w:val="24"/>
              </w:rPr>
              <w:t>月获得合肥市环境保护局环境影响报告书的批复，批复文号：环建审（经）字［</w:t>
            </w:r>
            <w:r w:rsidRPr="009E2C03">
              <w:rPr>
                <w:rFonts w:ascii="Times New Roman" w:eastAsia="楷体" w:hAnsi="Times New Roman" w:hint="eastAsia"/>
                <w:sz w:val="24"/>
                <w:szCs w:val="24"/>
              </w:rPr>
              <w:t>2012</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125</w:t>
            </w:r>
            <w:r w:rsidRPr="009E2C03">
              <w:rPr>
                <w:rFonts w:ascii="Times New Roman" w:eastAsia="楷体" w:hAnsi="Times New Roman" w:hint="eastAsia"/>
                <w:sz w:val="24"/>
                <w:szCs w:val="24"/>
              </w:rPr>
              <w:t>号，于</w:t>
            </w:r>
            <w:r w:rsidRPr="009E2C03">
              <w:rPr>
                <w:rFonts w:ascii="Times New Roman" w:eastAsia="楷体" w:hAnsi="Times New Roman" w:hint="eastAsia"/>
                <w:sz w:val="24"/>
                <w:szCs w:val="24"/>
              </w:rPr>
              <w:t>2015</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12</w:t>
            </w:r>
            <w:r w:rsidRPr="009E2C03">
              <w:rPr>
                <w:rFonts w:ascii="Times New Roman" w:eastAsia="楷体" w:hAnsi="Times New Roman" w:hint="eastAsia"/>
                <w:sz w:val="24"/>
                <w:szCs w:val="24"/>
              </w:rPr>
              <w:t>月通过合肥市环境保护局经济技术开发区分局《关于安徽江淮汽车股份有限公司年产</w:t>
            </w:r>
            <w:r w:rsidRPr="009E2C03">
              <w:rPr>
                <w:rFonts w:ascii="Times New Roman" w:eastAsia="楷体" w:hAnsi="Times New Roman" w:hint="eastAsia"/>
                <w:sz w:val="24"/>
                <w:szCs w:val="24"/>
              </w:rPr>
              <w:t>15</w:t>
            </w:r>
            <w:r w:rsidRPr="009E2C03">
              <w:rPr>
                <w:rFonts w:ascii="Times New Roman" w:eastAsia="楷体" w:hAnsi="Times New Roman" w:hint="eastAsia"/>
                <w:sz w:val="24"/>
                <w:szCs w:val="24"/>
              </w:rPr>
              <w:t>万台双离合自动变速器建设项目竣工环境保护验收意见》（</w:t>
            </w:r>
            <w:proofErr w:type="gramStart"/>
            <w:r w:rsidRPr="009E2C03">
              <w:rPr>
                <w:rFonts w:ascii="Times New Roman" w:eastAsia="楷体" w:hAnsi="Times New Roman" w:hint="eastAsia"/>
                <w:sz w:val="24"/>
                <w:szCs w:val="24"/>
              </w:rPr>
              <w:t>合环经开分局验</w:t>
            </w:r>
            <w:proofErr w:type="gramEnd"/>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2015</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66</w:t>
            </w:r>
            <w:r w:rsidRPr="009E2C03">
              <w:rPr>
                <w:rFonts w:ascii="Times New Roman" w:eastAsia="楷体" w:hAnsi="Times New Roman" w:hint="eastAsia"/>
                <w:sz w:val="24"/>
                <w:szCs w:val="24"/>
              </w:rPr>
              <w:t>号）。</w:t>
            </w:r>
          </w:p>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 xml:space="preserve">    </w:t>
            </w:r>
            <w:r w:rsidRPr="009E2C03">
              <w:rPr>
                <w:rFonts w:ascii="Times New Roman" w:eastAsia="楷体" w:hAnsi="Times New Roman" w:hint="eastAsia"/>
                <w:sz w:val="24"/>
                <w:szCs w:val="24"/>
              </w:rPr>
              <w:t>“安徽江淮汽车股份有限公司年产</w:t>
            </w:r>
            <w:r w:rsidRPr="009E2C03">
              <w:rPr>
                <w:rFonts w:ascii="Times New Roman" w:eastAsia="楷体" w:hAnsi="Times New Roman" w:hint="eastAsia"/>
                <w:sz w:val="24"/>
                <w:szCs w:val="24"/>
              </w:rPr>
              <w:t>10</w:t>
            </w:r>
            <w:r w:rsidRPr="009E2C03">
              <w:rPr>
                <w:rFonts w:ascii="Times New Roman" w:eastAsia="楷体" w:hAnsi="Times New Roman" w:hint="eastAsia"/>
                <w:sz w:val="24"/>
                <w:szCs w:val="24"/>
              </w:rPr>
              <w:t>万台</w:t>
            </w:r>
            <w:r w:rsidRPr="009E2C03">
              <w:rPr>
                <w:rFonts w:ascii="Times New Roman" w:eastAsia="楷体" w:hAnsi="Times New Roman" w:hint="eastAsia"/>
                <w:sz w:val="24"/>
                <w:szCs w:val="24"/>
              </w:rPr>
              <w:t>2.0CTI</w:t>
            </w:r>
            <w:r w:rsidRPr="009E2C03">
              <w:rPr>
                <w:rFonts w:ascii="Times New Roman" w:eastAsia="楷体" w:hAnsi="Times New Roman" w:hint="eastAsia"/>
                <w:sz w:val="24"/>
                <w:szCs w:val="24"/>
              </w:rPr>
              <w:t>高性能柴油发动机项</w:t>
            </w:r>
            <w:r w:rsidRPr="009E2C03">
              <w:rPr>
                <w:rFonts w:ascii="Times New Roman" w:eastAsia="楷体" w:hAnsi="Times New Roman" w:hint="eastAsia"/>
                <w:sz w:val="24"/>
                <w:szCs w:val="24"/>
              </w:rPr>
              <w:t>目”于</w:t>
            </w:r>
            <w:r w:rsidRPr="009E2C03">
              <w:rPr>
                <w:rFonts w:ascii="Times New Roman" w:eastAsia="楷体" w:hAnsi="Times New Roman" w:hint="eastAsia"/>
                <w:sz w:val="24"/>
                <w:szCs w:val="24"/>
              </w:rPr>
              <w:t>2014</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6</w:t>
            </w:r>
            <w:r w:rsidRPr="009E2C03">
              <w:rPr>
                <w:rFonts w:ascii="Times New Roman" w:eastAsia="楷体" w:hAnsi="Times New Roman" w:hint="eastAsia"/>
                <w:sz w:val="24"/>
                <w:szCs w:val="24"/>
              </w:rPr>
              <w:t>月获得合肥市环境保护局环境影响报告书的批复，批复文号：环建审［</w:t>
            </w:r>
            <w:r w:rsidRPr="009E2C03">
              <w:rPr>
                <w:rFonts w:ascii="Times New Roman" w:eastAsia="楷体" w:hAnsi="Times New Roman" w:hint="eastAsia"/>
                <w:sz w:val="24"/>
                <w:szCs w:val="24"/>
              </w:rPr>
              <w:t>2014</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168</w:t>
            </w:r>
            <w:r w:rsidRPr="009E2C03">
              <w:rPr>
                <w:rFonts w:ascii="Times New Roman" w:eastAsia="楷体" w:hAnsi="Times New Roman" w:hint="eastAsia"/>
                <w:sz w:val="24"/>
                <w:szCs w:val="24"/>
              </w:rPr>
              <w:t>号，于</w:t>
            </w:r>
            <w:r w:rsidRPr="009E2C03">
              <w:rPr>
                <w:rFonts w:ascii="Times New Roman" w:eastAsia="楷体" w:hAnsi="Times New Roman" w:hint="eastAsia"/>
                <w:sz w:val="24"/>
                <w:szCs w:val="24"/>
              </w:rPr>
              <w:t>2018</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9</w:t>
            </w:r>
            <w:r w:rsidRPr="009E2C03">
              <w:rPr>
                <w:rFonts w:ascii="Times New Roman" w:eastAsia="楷体" w:hAnsi="Times New Roman" w:hint="eastAsia"/>
                <w:sz w:val="24"/>
                <w:szCs w:val="24"/>
              </w:rPr>
              <w:t>月通过合肥市环境保护局</w:t>
            </w:r>
            <w:proofErr w:type="gramStart"/>
            <w:r w:rsidRPr="009E2C03">
              <w:rPr>
                <w:rFonts w:ascii="Times New Roman" w:eastAsia="楷体" w:hAnsi="Times New Roman" w:hint="eastAsia"/>
                <w:sz w:val="24"/>
                <w:szCs w:val="24"/>
              </w:rPr>
              <w:t>《</w:t>
            </w:r>
            <w:proofErr w:type="gramEnd"/>
            <w:r w:rsidRPr="009E2C03">
              <w:rPr>
                <w:rFonts w:ascii="Times New Roman" w:eastAsia="楷体" w:hAnsi="Times New Roman" w:hint="eastAsia"/>
                <w:sz w:val="24"/>
                <w:szCs w:val="24"/>
              </w:rPr>
              <w:t>关于安徽江淮汽车集团股份有限公司年产</w:t>
            </w:r>
            <w:r w:rsidRPr="009E2C03">
              <w:rPr>
                <w:rFonts w:ascii="Times New Roman" w:eastAsia="楷体" w:hAnsi="Times New Roman" w:hint="eastAsia"/>
                <w:sz w:val="24"/>
                <w:szCs w:val="24"/>
              </w:rPr>
              <w:t>10</w:t>
            </w:r>
            <w:r w:rsidRPr="009E2C03">
              <w:rPr>
                <w:rFonts w:ascii="Times New Roman" w:eastAsia="楷体" w:hAnsi="Times New Roman" w:hint="eastAsia"/>
                <w:sz w:val="24"/>
                <w:szCs w:val="24"/>
              </w:rPr>
              <w:t>万台</w:t>
            </w:r>
            <w:r w:rsidRPr="009E2C03">
              <w:rPr>
                <w:rFonts w:ascii="Times New Roman" w:eastAsia="楷体" w:hAnsi="Times New Roman" w:hint="eastAsia"/>
                <w:sz w:val="24"/>
                <w:szCs w:val="24"/>
              </w:rPr>
              <w:t>2.0CTI</w:t>
            </w:r>
            <w:r w:rsidRPr="009E2C03">
              <w:rPr>
                <w:rFonts w:ascii="Times New Roman" w:eastAsia="楷体" w:hAnsi="Times New Roman" w:hint="eastAsia"/>
                <w:sz w:val="24"/>
                <w:szCs w:val="24"/>
              </w:rPr>
              <w:t>高性能柴油发动机项目固体废物和噪声污染防治设施阶段性竣工环保验收合格的函（合环验［</w:t>
            </w:r>
            <w:r w:rsidRPr="009E2C03">
              <w:rPr>
                <w:rFonts w:ascii="Times New Roman" w:eastAsia="楷体" w:hAnsi="Times New Roman" w:hint="eastAsia"/>
                <w:sz w:val="24"/>
                <w:szCs w:val="24"/>
              </w:rPr>
              <w:t>2018</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58</w:t>
            </w:r>
            <w:r w:rsidRPr="009E2C03">
              <w:rPr>
                <w:rFonts w:ascii="Times New Roman" w:eastAsia="楷体" w:hAnsi="Times New Roman" w:hint="eastAsia"/>
                <w:sz w:val="24"/>
                <w:szCs w:val="24"/>
              </w:rPr>
              <w:t>号）。</w:t>
            </w:r>
          </w:p>
          <w:p w:rsidR="000C671F" w:rsidRPr="009E2C03" w:rsidRDefault="009E2C03" w:rsidP="009E2C03">
            <w:pPr>
              <w:adjustRightInd w:val="0"/>
              <w:snapToGrid w:val="0"/>
              <w:rPr>
                <w:rFonts w:ascii="Times New Roman" w:eastAsia="楷体" w:hAnsi="Times New Roman"/>
                <w:sz w:val="24"/>
                <w:szCs w:val="24"/>
              </w:rPr>
            </w:pPr>
            <w:r w:rsidRPr="009E2C03">
              <w:rPr>
                <w:rFonts w:ascii="Times New Roman" w:eastAsia="楷体" w:hAnsi="Times New Roman" w:hint="eastAsia"/>
                <w:sz w:val="24"/>
                <w:szCs w:val="24"/>
              </w:rPr>
              <w:t xml:space="preserve">   </w:t>
            </w:r>
            <w:r w:rsidRPr="009E2C03">
              <w:rPr>
                <w:rFonts w:ascii="Times New Roman" w:eastAsia="楷体" w:hAnsi="Times New Roman" w:hint="eastAsia"/>
                <w:sz w:val="24"/>
                <w:szCs w:val="24"/>
              </w:rPr>
              <w:t>“发动机公司生产线内涵改造项目”于</w:t>
            </w:r>
            <w:r w:rsidRPr="009E2C03">
              <w:rPr>
                <w:rFonts w:ascii="Times New Roman" w:eastAsia="楷体" w:hAnsi="Times New Roman" w:hint="eastAsia"/>
                <w:sz w:val="24"/>
                <w:szCs w:val="24"/>
              </w:rPr>
              <w:t>2018</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1</w:t>
            </w:r>
            <w:r w:rsidRPr="009E2C03">
              <w:rPr>
                <w:rFonts w:ascii="Times New Roman" w:eastAsia="楷体" w:hAnsi="Times New Roman" w:hint="eastAsia"/>
                <w:sz w:val="24"/>
                <w:szCs w:val="24"/>
              </w:rPr>
              <w:t>月获得合肥市环境保护局环境影响报告书的批复，批复文号：环建审［</w:t>
            </w:r>
            <w:r w:rsidRPr="009E2C03">
              <w:rPr>
                <w:rFonts w:ascii="Times New Roman" w:eastAsia="楷体" w:hAnsi="Times New Roman" w:hint="eastAsia"/>
                <w:sz w:val="24"/>
                <w:szCs w:val="24"/>
              </w:rPr>
              <w:t>2018</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6</w:t>
            </w:r>
            <w:r w:rsidRPr="009E2C03">
              <w:rPr>
                <w:rFonts w:ascii="Times New Roman" w:eastAsia="楷体" w:hAnsi="Times New Roman" w:hint="eastAsia"/>
                <w:sz w:val="24"/>
                <w:szCs w:val="24"/>
              </w:rPr>
              <w:t>号，于</w:t>
            </w:r>
            <w:r w:rsidRPr="009E2C03">
              <w:rPr>
                <w:rFonts w:ascii="Times New Roman" w:eastAsia="楷体" w:hAnsi="Times New Roman" w:hint="eastAsia"/>
                <w:sz w:val="24"/>
                <w:szCs w:val="24"/>
              </w:rPr>
              <w:t>2019</w:t>
            </w:r>
            <w:r w:rsidRPr="009E2C03">
              <w:rPr>
                <w:rFonts w:ascii="Times New Roman" w:eastAsia="楷体" w:hAnsi="Times New Roman" w:hint="eastAsia"/>
                <w:sz w:val="24"/>
                <w:szCs w:val="24"/>
              </w:rPr>
              <w:t>年</w:t>
            </w:r>
            <w:r w:rsidRPr="009E2C03">
              <w:rPr>
                <w:rFonts w:ascii="Times New Roman" w:eastAsia="楷体" w:hAnsi="Times New Roman" w:hint="eastAsia"/>
                <w:sz w:val="24"/>
                <w:szCs w:val="24"/>
              </w:rPr>
              <w:t>11</w:t>
            </w:r>
            <w:r w:rsidRPr="009E2C03">
              <w:rPr>
                <w:rFonts w:ascii="Times New Roman" w:eastAsia="楷体" w:hAnsi="Times New Roman" w:hint="eastAsia"/>
                <w:sz w:val="24"/>
                <w:szCs w:val="24"/>
              </w:rPr>
              <w:t>月通过合肥市生态环境局</w:t>
            </w:r>
            <w:proofErr w:type="gramStart"/>
            <w:r w:rsidRPr="009E2C03">
              <w:rPr>
                <w:rFonts w:ascii="Times New Roman" w:eastAsia="楷体" w:hAnsi="Times New Roman" w:hint="eastAsia"/>
                <w:sz w:val="24"/>
                <w:szCs w:val="24"/>
              </w:rPr>
              <w:t>《</w:t>
            </w:r>
            <w:proofErr w:type="gramEnd"/>
            <w:r w:rsidRPr="009E2C03">
              <w:rPr>
                <w:rFonts w:ascii="Times New Roman" w:eastAsia="楷体" w:hAnsi="Times New Roman" w:hint="eastAsia"/>
                <w:sz w:val="24"/>
                <w:szCs w:val="24"/>
              </w:rPr>
              <w:t>关于安徽江淮汽车集团股份有限公司生产线内涵改</w:t>
            </w:r>
            <w:r w:rsidRPr="009E2C03">
              <w:rPr>
                <w:rFonts w:ascii="Times New Roman" w:eastAsia="楷体" w:hAnsi="Times New Roman" w:hint="eastAsia"/>
                <w:sz w:val="24"/>
                <w:szCs w:val="24"/>
              </w:rPr>
              <w:t>造项目固体废物污染防治设施验收合格的函（合环验［</w:t>
            </w:r>
            <w:r w:rsidRPr="009E2C03">
              <w:rPr>
                <w:rFonts w:ascii="Times New Roman" w:eastAsia="楷体" w:hAnsi="Times New Roman" w:hint="eastAsia"/>
                <w:sz w:val="24"/>
                <w:szCs w:val="24"/>
              </w:rPr>
              <w:t>2019</w:t>
            </w:r>
            <w:r w:rsidRPr="009E2C03">
              <w:rPr>
                <w:rFonts w:ascii="Times New Roman" w:eastAsia="楷体" w:hAnsi="Times New Roman" w:hint="eastAsia"/>
                <w:sz w:val="24"/>
                <w:szCs w:val="24"/>
              </w:rPr>
              <w:t>］</w:t>
            </w:r>
            <w:r w:rsidRPr="009E2C03">
              <w:rPr>
                <w:rFonts w:ascii="Times New Roman" w:eastAsia="楷体" w:hAnsi="Times New Roman" w:hint="eastAsia"/>
                <w:sz w:val="24"/>
                <w:szCs w:val="24"/>
              </w:rPr>
              <w:t>115</w:t>
            </w:r>
            <w:r w:rsidRPr="009E2C03">
              <w:rPr>
                <w:rFonts w:ascii="Times New Roman" w:eastAsia="楷体" w:hAnsi="Times New Roman" w:hint="eastAsia"/>
                <w:sz w:val="24"/>
                <w:szCs w:val="24"/>
              </w:rPr>
              <w:t>号）。</w:t>
            </w:r>
          </w:p>
          <w:p w:rsidR="000C671F" w:rsidRPr="009E2C03" w:rsidRDefault="000C671F" w:rsidP="009E2C03">
            <w:pPr>
              <w:adjustRightInd w:val="0"/>
              <w:snapToGrid w:val="0"/>
              <w:jc w:val="left"/>
              <w:rPr>
                <w:rFonts w:ascii="Times New Roman" w:eastAsia="楷体" w:hAnsi="Times New Roman"/>
                <w:sz w:val="24"/>
                <w:szCs w:val="24"/>
              </w:rPr>
            </w:pPr>
          </w:p>
        </w:tc>
      </w:tr>
      <w:tr w:rsidR="000C671F" w:rsidTr="009E2C03">
        <w:trPr>
          <w:trHeight w:val="652"/>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lastRenderedPageBreak/>
              <w:t>其他环境保护行政许可情况</w:t>
            </w:r>
          </w:p>
        </w:tc>
        <w:tc>
          <w:tcPr>
            <w:tcW w:w="6701" w:type="dxa"/>
            <w:gridSpan w:val="3"/>
            <w:shd w:val="clear" w:color="auto" w:fill="auto"/>
            <w:vAlign w:val="center"/>
          </w:tcPr>
          <w:p w:rsidR="000C671F" w:rsidRPr="009E2C03" w:rsidRDefault="00E126D3" w:rsidP="009E2C03">
            <w:pPr>
              <w:adjustRightInd w:val="0"/>
              <w:snapToGrid w:val="0"/>
              <w:jc w:val="center"/>
              <w:rPr>
                <w:rFonts w:ascii="Times New Roman" w:eastAsia="楷体" w:hAnsi="Times New Roman"/>
                <w:sz w:val="24"/>
                <w:szCs w:val="24"/>
              </w:rPr>
            </w:pPr>
            <w:r w:rsidRPr="009E2C03">
              <w:rPr>
                <w:rFonts w:ascii="Times New Roman" w:eastAsia="楷体" w:hAnsi="Times New Roman" w:hint="eastAsia"/>
                <w:sz w:val="24"/>
                <w:szCs w:val="24"/>
              </w:rPr>
              <w:t>排污许可证编号：</w:t>
            </w:r>
            <w:bookmarkStart w:id="0" w:name="_GoBack"/>
            <w:bookmarkEnd w:id="0"/>
            <w:r w:rsidR="009E2C03" w:rsidRPr="009E2C03">
              <w:rPr>
                <w:rFonts w:ascii="Times New Roman" w:eastAsia="楷体" w:hAnsi="Times New Roman" w:hint="eastAsia"/>
                <w:sz w:val="24"/>
                <w:szCs w:val="24"/>
              </w:rPr>
              <w:t>913400007585409759001V</w:t>
            </w:r>
          </w:p>
        </w:tc>
      </w:tr>
      <w:tr w:rsidR="000C671F" w:rsidTr="009E2C03">
        <w:trPr>
          <w:trHeight w:val="1014"/>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突发环境事件应急预案（</w:t>
            </w:r>
            <w:r w:rsidRPr="009E2C03">
              <w:rPr>
                <w:rFonts w:ascii="Times New Roman" w:hAnsi="Times New Roman"/>
                <w:sz w:val="24"/>
                <w:szCs w:val="24"/>
              </w:rPr>
              <w:t>有提供备案编号即可</w:t>
            </w:r>
            <w:r w:rsidRPr="009E2C03">
              <w:rPr>
                <w:rFonts w:ascii="Times New Roman" w:hAnsi="Times New Roman"/>
                <w:b/>
                <w:sz w:val="24"/>
                <w:szCs w:val="24"/>
              </w:rPr>
              <w:t>）</w:t>
            </w:r>
          </w:p>
        </w:tc>
        <w:tc>
          <w:tcPr>
            <w:tcW w:w="6701" w:type="dxa"/>
            <w:gridSpan w:val="3"/>
            <w:shd w:val="clear" w:color="auto" w:fill="auto"/>
            <w:vAlign w:val="center"/>
          </w:tcPr>
          <w:p w:rsidR="000C671F" w:rsidRPr="009E2C03" w:rsidRDefault="009E2C03" w:rsidP="009E2C03">
            <w:pPr>
              <w:adjustRightInd w:val="0"/>
              <w:snapToGrid w:val="0"/>
              <w:jc w:val="center"/>
              <w:rPr>
                <w:rFonts w:ascii="Times New Roman" w:eastAsia="楷体" w:hAnsi="Times New Roman"/>
                <w:sz w:val="24"/>
                <w:szCs w:val="24"/>
              </w:rPr>
            </w:pPr>
            <w:r w:rsidRPr="009E2C03">
              <w:rPr>
                <w:rFonts w:ascii="Times New Roman" w:eastAsia="楷体" w:hAnsi="Times New Roman" w:hint="eastAsia"/>
                <w:sz w:val="24"/>
                <w:szCs w:val="24"/>
              </w:rPr>
              <w:t>340106-2020-011L</w:t>
            </w:r>
          </w:p>
        </w:tc>
      </w:tr>
      <w:tr w:rsidR="000C671F" w:rsidTr="009E2C03">
        <w:trPr>
          <w:trHeight w:val="1712"/>
        </w:trPr>
        <w:tc>
          <w:tcPr>
            <w:tcW w:w="2004" w:type="dxa"/>
            <w:shd w:val="clear" w:color="auto" w:fill="auto"/>
            <w:vAlign w:val="center"/>
          </w:tcPr>
          <w:p w:rsidR="000C671F" w:rsidRPr="009E2C03" w:rsidRDefault="009E2C03" w:rsidP="009E2C03">
            <w:pPr>
              <w:adjustRightInd w:val="0"/>
              <w:snapToGrid w:val="0"/>
              <w:jc w:val="center"/>
              <w:rPr>
                <w:rFonts w:ascii="Times New Roman" w:hAnsi="Times New Roman"/>
                <w:b/>
                <w:sz w:val="24"/>
                <w:szCs w:val="24"/>
              </w:rPr>
            </w:pPr>
            <w:r w:rsidRPr="009E2C03">
              <w:rPr>
                <w:rFonts w:ascii="Times New Roman" w:hAnsi="Times New Roman"/>
                <w:b/>
                <w:sz w:val="24"/>
                <w:szCs w:val="24"/>
              </w:rPr>
              <w:t>其他应当公开的环境信息</w:t>
            </w:r>
          </w:p>
        </w:tc>
        <w:tc>
          <w:tcPr>
            <w:tcW w:w="6701" w:type="dxa"/>
            <w:gridSpan w:val="3"/>
            <w:shd w:val="clear" w:color="auto" w:fill="auto"/>
            <w:vAlign w:val="center"/>
          </w:tcPr>
          <w:p w:rsidR="000C671F" w:rsidRPr="009E2C03" w:rsidRDefault="009E2C03" w:rsidP="009E2C03">
            <w:pPr>
              <w:adjustRightInd w:val="0"/>
              <w:snapToGrid w:val="0"/>
              <w:jc w:val="left"/>
              <w:rPr>
                <w:rFonts w:ascii="Times New Roman" w:eastAsia="楷体" w:hAnsi="Times New Roman"/>
                <w:sz w:val="24"/>
                <w:szCs w:val="24"/>
              </w:rPr>
            </w:pPr>
            <w:r w:rsidRPr="009E2C03">
              <w:rPr>
                <w:rFonts w:ascii="Times New Roman" w:eastAsia="楷体" w:hAnsi="Times New Roman" w:hint="eastAsia"/>
                <w:sz w:val="24"/>
                <w:szCs w:val="24"/>
              </w:rPr>
              <w:t>发动机公司按要求在公司官网（</w:t>
            </w:r>
            <w:r w:rsidRPr="009E2C03">
              <w:rPr>
                <w:rFonts w:ascii="Times New Roman" w:eastAsia="楷体" w:hAnsi="Times New Roman" w:hint="eastAsia"/>
                <w:sz w:val="24"/>
                <w:szCs w:val="24"/>
              </w:rPr>
              <w:t>http://www.jac.com.cn/</w:t>
            </w:r>
            <w:r w:rsidRPr="009E2C03">
              <w:rPr>
                <w:rFonts w:ascii="Times New Roman" w:eastAsia="楷体" w:hAnsi="Times New Roman" w:hint="eastAsia"/>
                <w:sz w:val="24"/>
                <w:szCs w:val="24"/>
              </w:rPr>
              <w:t>）公开环境监测信息，并在安徽省排污自行监测信息发布平台</w:t>
            </w:r>
            <w:hyperlink r:id="rId8" w:history="1">
              <w:r w:rsidRPr="009E2C03">
                <w:rPr>
                  <w:rFonts w:ascii="Times New Roman" w:eastAsia="楷体" w:hAnsi="Times New Roman" w:hint="eastAsia"/>
                  <w:sz w:val="24"/>
                  <w:szCs w:val="24"/>
                </w:rPr>
                <w:t>http://39.145.0.253:8081/loginx</w:t>
              </w:r>
            </w:hyperlink>
            <w:r w:rsidRPr="009E2C03">
              <w:rPr>
                <w:rFonts w:ascii="Times New Roman" w:eastAsia="楷体" w:hAnsi="Times New Roman" w:hint="eastAsia"/>
                <w:sz w:val="24"/>
                <w:szCs w:val="24"/>
              </w:rPr>
              <w:t>公示，接受社会的监督。</w:t>
            </w:r>
          </w:p>
        </w:tc>
      </w:tr>
    </w:tbl>
    <w:p w:rsidR="000C671F" w:rsidRDefault="000C671F">
      <w:pPr>
        <w:adjustRightInd w:val="0"/>
        <w:snapToGrid w:val="0"/>
        <w:jc w:val="center"/>
      </w:pPr>
    </w:p>
    <w:sectPr w:rsidR="000C671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03" w:rsidRDefault="009E2C03" w:rsidP="00E126D3">
      <w:r>
        <w:separator/>
      </w:r>
    </w:p>
  </w:endnote>
  <w:endnote w:type="continuationSeparator" w:id="0">
    <w:p w:rsidR="009E2C03" w:rsidRDefault="009E2C03" w:rsidP="00E1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03" w:rsidRDefault="009E2C03" w:rsidP="00E126D3">
      <w:r>
        <w:separator/>
      </w:r>
    </w:p>
  </w:footnote>
  <w:footnote w:type="continuationSeparator" w:id="0">
    <w:p w:rsidR="009E2C03" w:rsidRDefault="009E2C03" w:rsidP="00E12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B8F5B39"/>
    <w:rsid w:val="000A3E4F"/>
    <w:rsid w:val="000C671F"/>
    <w:rsid w:val="00294D3C"/>
    <w:rsid w:val="002C742A"/>
    <w:rsid w:val="007E3055"/>
    <w:rsid w:val="009E2C03"/>
    <w:rsid w:val="00AE5FD7"/>
    <w:rsid w:val="00C1640C"/>
    <w:rsid w:val="00C96AFE"/>
    <w:rsid w:val="00E126D3"/>
    <w:rsid w:val="00F53C76"/>
    <w:rsid w:val="087D676C"/>
    <w:rsid w:val="2B8F5B39"/>
    <w:rsid w:val="32540CBC"/>
    <w:rsid w:val="3572709A"/>
    <w:rsid w:val="36A57CD1"/>
    <w:rsid w:val="38613E8D"/>
    <w:rsid w:val="3E3E2A80"/>
    <w:rsid w:val="47115AAD"/>
    <w:rsid w:val="693B434B"/>
    <w:rsid w:val="73A75768"/>
    <w:rsid w:val="75D0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uiPriority w:val="99"/>
    <w:unhideWhenUsed/>
    <w:qFormat/>
    <w:pPr>
      <w:spacing w:before="75" w:after="75"/>
    </w:pPr>
    <w:rPr>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pPr>
      <w:ind w:leftChars="200" w:left="480"/>
    </w:pPr>
  </w:style>
  <w:style w:type="paragraph" w:customStyle="1" w:styleId="10">
    <w:name w:val="正文_1"/>
    <w:qFormat/>
    <w:pPr>
      <w:widowControl w:val="0"/>
      <w:jc w:val="both"/>
    </w:pPr>
    <w:rPr>
      <w:rFonts w:ascii="Calibri" w:hAnsi="Calibri"/>
      <w:kern w:val="2"/>
      <w:sz w:val="21"/>
    </w:rPr>
  </w:style>
  <w:style w:type="paragraph" w:customStyle="1" w:styleId="32">
    <w:name w:val="正文_32"/>
    <w:qFormat/>
    <w:pPr>
      <w:widowControl w:val="0"/>
      <w:jc w:val="both"/>
    </w:pPr>
    <w:rPr>
      <w:rFonts w:ascii="Calibri" w:hAnsi="Calibri"/>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link w:val="a4"/>
    <w:qFormat/>
    <w:rPr>
      <w:rFonts w:ascii="Calibri" w:eastAsia="宋体" w:hAnsi="Calibri" w:cs="Times New Roman"/>
      <w:kern w:val="2"/>
      <w:sz w:val="18"/>
      <w:szCs w:val="18"/>
    </w:rPr>
  </w:style>
  <w:style w:type="character" w:customStyle="1" w:styleId="Char">
    <w:name w:val="页脚 Char"/>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epb.gov.cn:8080/GK/LigerUI/u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3049</Characters>
  <Application>Microsoft Office Word</Application>
  <DocSecurity>0</DocSecurity>
  <Lines>25</Lines>
  <Paragraphs>7</Paragraphs>
  <ScaleCrop>false</ScaleCrop>
  <Company>china</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合肥经济技术开发区企事业单位环境信息公开表</dc:title>
  <dc:creator>Administrator</dc:creator>
  <cp:lastModifiedBy>Administrator</cp:lastModifiedBy>
  <cp:revision>1</cp:revision>
  <dcterms:created xsi:type="dcterms:W3CDTF">2021-05-13T06:24:00Z</dcterms:created>
  <dcterms:modified xsi:type="dcterms:W3CDTF">2022-03-18T03:14:00Z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