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78" w:rsidRDefault="0010484A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B87F78" w:rsidRDefault="0010484A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B87F78">
        <w:trPr>
          <w:trHeight w:val="513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安徽江淮汽车集团股份有限公司轿车分公司</w:t>
            </w:r>
          </w:p>
        </w:tc>
        <w:tc>
          <w:tcPr>
            <w:tcW w:w="2138" w:type="dxa"/>
            <w:vAlign w:val="center"/>
          </w:tcPr>
          <w:p w:rsidR="00B87F78" w:rsidRDefault="0010484A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91340000670941897L</w:t>
            </w:r>
          </w:p>
          <w:p w:rsidR="00B87F78" w:rsidRDefault="00B87F7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87F78">
        <w:trPr>
          <w:trHeight w:val="439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安进</w:t>
            </w:r>
          </w:p>
        </w:tc>
        <w:tc>
          <w:tcPr>
            <w:tcW w:w="2138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18955155105</w:t>
            </w:r>
          </w:p>
        </w:tc>
      </w:tr>
      <w:tr w:rsidR="00B87F78">
        <w:trPr>
          <w:trHeight w:val="573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轿车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期年产24万辆汽车整车、轿车二期年产24万辆汽车整车</w:t>
            </w:r>
          </w:p>
          <w:p w:rsidR="00B87F78" w:rsidRDefault="0010484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轿车制造、销售及售后服务、技术服务</w:t>
            </w:r>
          </w:p>
        </w:tc>
      </w:tr>
      <w:tr w:rsidR="00B87F78">
        <w:trPr>
          <w:trHeight w:val="414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安徽省合肥市桃花工业园始信路669号</w:t>
            </w:r>
          </w:p>
        </w:tc>
      </w:tr>
      <w:tr w:rsidR="00B87F78">
        <w:trPr>
          <w:trHeight w:val="524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http://www.jac.com.cn/</w:t>
            </w:r>
          </w:p>
        </w:tc>
      </w:tr>
      <w:tr w:rsidR="00B87F78">
        <w:trPr>
          <w:trHeight w:val="583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主要污染物挥发性有机物、化学需氧量、氨氮，特征污染物总镍</w:t>
            </w:r>
          </w:p>
          <w:p w:rsidR="00B87F78" w:rsidRDefault="00B87F7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87F78">
        <w:trPr>
          <w:trHeight w:val="577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废气有组织排放，废水间接排放</w:t>
            </w:r>
          </w:p>
        </w:tc>
      </w:tr>
      <w:tr w:rsidR="00B87F78">
        <w:trPr>
          <w:trHeight w:val="543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废气排放口54处（其中二期33个已停产），废水排放口4处（2处总排口，2处车间预处理排口）</w:t>
            </w:r>
          </w:p>
        </w:tc>
      </w:tr>
      <w:tr w:rsidR="00B87F78">
        <w:trPr>
          <w:trHeight w:val="405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COD47.7mg/L、氨氮3.7mg/L、总镍＜0.05mg/L、VOCs5.7mg/m³</w:t>
            </w:r>
          </w:p>
        </w:tc>
      </w:tr>
      <w:tr w:rsidR="00B87F78">
        <w:trPr>
          <w:trHeight w:val="385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COD9.94t、氨氮1.3t、VOCs2t、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总镍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0t</w:t>
            </w:r>
          </w:p>
        </w:tc>
      </w:tr>
      <w:tr w:rsidR="00B87F78">
        <w:trPr>
          <w:trHeight w:val="260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B87F78">
        <w:trPr>
          <w:trHeight w:val="575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Cs w:val="21"/>
              </w:rPr>
              <w:t>GB8978-1996</w:t>
            </w:r>
            <w:r>
              <w:rPr>
                <w:rFonts w:ascii="宋体" w:hAnsi="宋体" w:cs="宋体" w:hint="eastAsia"/>
                <w:szCs w:val="21"/>
              </w:rPr>
              <w:t>、GB/T31962-2015、GB16297-1996</w:t>
            </w:r>
          </w:p>
        </w:tc>
      </w:tr>
      <w:tr w:rsidR="00B87F78">
        <w:trPr>
          <w:trHeight w:val="570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COD 322t/a、 氨氮17t/a、VOCs 2326t/a、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总镍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0.08t/a</w:t>
            </w:r>
          </w:p>
        </w:tc>
      </w:tr>
      <w:tr w:rsidR="00B87F78">
        <w:trPr>
          <w:trHeight w:val="492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30套废气治理设备（其中二期15套已报停），4套废水处理设施均建成并投入使用</w:t>
            </w:r>
          </w:p>
        </w:tc>
      </w:tr>
      <w:tr w:rsidR="00B87F78">
        <w:trPr>
          <w:trHeight w:val="525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运行正常</w:t>
            </w:r>
          </w:p>
        </w:tc>
      </w:tr>
      <w:tr w:rsidR="00B87F78">
        <w:trPr>
          <w:trHeight w:val="652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环评函〔2008〕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754 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环评函〔2008〕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933 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环监验〔2009〕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65 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环监验〔2009〕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66 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环评函〔2010〕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237 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环评函〔2011〕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314 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皖环函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〔2014〕176 号</w:t>
            </w:r>
          </w:p>
        </w:tc>
      </w:tr>
      <w:tr w:rsidR="00B87F78">
        <w:trPr>
          <w:trHeight w:val="492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B87F78">
        <w:trPr>
          <w:trHeight w:val="1014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340106-2019-036L</w:t>
            </w:r>
          </w:p>
        </w:tc>
      </w:tr>
      <w:tr w:rsidR="00B87F78">
        <w:trPr>
          <w:trHeight w:val="467"/>
        </w:trPr>
        <w:tc>
          <w:tcPr>
            <w:tcW w:w="2004" w:type="dxa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B87F78" w:rsidRDefault="001048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:rsidR="00B87F78" w:rsidRDefault="00B87F78" w:rsidP="00D823D0">
      <w:pPr>
        <w:adjustRightInd w:val="0"/>
        <w:snapToGrid w:val="0"/>
      </w:pPr>
      <w:bookmarkStart w:id="0" w:name="_GoBack"/>
      <w:bookmarkEnd w:id="0"/>
    </w:p>
    <w:sectPr w:rsidR="00B8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3A" w:rsidRDefault="00EF513A" w:rsidP="000D7753">
      <w:r>
        <w:separator/>
      </w:r>
    </w:p>
  </w:endnote>
  <w:endnote w:type="continuationSeparator" w:id="0">
    <w:p w:rsidR="00EF513A" w:rsidRDefault="00EF513A" w:rsidP="000D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3A" w:rsidRDefault="00EF513A" w:rsidP="000D7753">
      <w:r>
        <w:separator/>
      </w:r>
    </w:p>
  </w:footnote>
  <w:footnote w:type="continuationSeparator" w:id="0">
    <w:p w:rsidR="00EF513A" w:rsidRDefault="00EF513A" w:rsidP="000D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0D7753"/>
    <w:rsid w:val="0010484A"/>
    <w:rsid w:val="00294D3C"/>
    <w:rsid w:val="007E3055"/>
    <w:rsid w:val="00804D8E"/>
    <w:rsid w:val="00AE5FD7"/>
    <w:rsid w:val="00B87F78"/>
    <w:rsid w:val="00C1640C"/>
    <w:rsid w:val="00D823D0"/>
    <w:rsid w:val="00EF513A"/>
    <w:rsid w:val="00F53C76"/>
    <w:rsid w:val="04362F73"/>
    <w:rsid w:val="0EA669C1"/>
    <w:rsid w:val="11F25524"/>
    <w:rsid w:val="15403639"/>
    <w:rsid w:val="1C8E5477"/>
    <w:rsid w:val="1EA97FA5"/>
    <w:rsid w:val="20A81AC8"/>
    <w:rsid w:val="221F3DA9"/>
    <w:rsid w:val="26072EDB"/>
    <w:rsid w:val="26D65C1D"/>
    <w:rsid w:val="26E23356"/>
    <w:rsid w:val="273B1266"/>
    <w:rsid w:val="2B8F5B39"/>
    <w:rsid w:val="302761EC"/>
    <w:rsid w:val="37C95042"/>
    <w:rsid w:val="3A8A5032"/>
    <w:rsid w:val="3B1B500B"/>
    <w:rsid w:val="44E97927"/>
    <w:rsid w:val="47025F0C"/>
    <w:rsid w:val="49166269"/>
    <w:rsid w:val="491B3C96"/>
    <w:rsid w:val="5926205F"/>
    <w:rsid w:val="59800136"/>
    <w:rsid w:val="5B4E66B6"/>
    <w:rsid w:val="5D841825"/>
    <w:rsid w:val="63A61117"/>
    <w:rsid w:val="6458651A"/>
    <w:rsid w:val="67547B1D"/>
    <w:rsid w:val="692F7755"/>
    <w:rsid w:val="6D4376B9"/>
    <w:rsid w:val="7B5B0360"/>
    <w:rsid w:val="7FE2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pPr>
      <w:ind w:leftChars="200" w:left="480"/>
    </w:p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pPr>
      <w:ind w:leftChars="200" w:left="480"/>
    </w:p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china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2021-09-10T08:21:00Z</dcterms:created>
  <dcterms:modified xsi:type="dcterms:W3CDTF">2021-09-14T01:02:00Z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