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4" w:rsidRDefault="005F1964" w:rsidP="005F196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5F1964" w:rsidRDefault="005F1964" w:rsidP="005F196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>
        <w:rPr>
          <w:rFonts w:ascii="仿宋" w:eastAsia="仿宋" w:hAnsi="仿宋" w:cs="仿宋"/>
          <w:b/>
          <w:sz w:val="36"/>
          <w:szCs w:val="36"/>
        </w:rPr>
        <w:t>9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F1964" w:rsidTr="00AF7D77">
        <w:trPr>
          <w:trHeight w:val="51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洽洽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食品股份有限公司</w:t>
            </w:r>
          </w:p>
        </w:tc>
        <w:tc>
          <w:tcPr>
            <w:tcW w:w="2138" w:type="dxa"/>
            <w:vAlign w:val="center"/>
          </w:tcPr>
          <w:p w:rsidR="005F1964" w:rsidRDefault="005F1964" w:rsidP="00AF7D77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howhidemsg"/>
              </w:rPr>
              <w:t>913400007300294381 </w:t>
            </w:r>
          </w:p>
        </w:tc>
      </w:tr>
      <w:tr w:rsidR="005F1964" w:rsidTr="00AF7D77">
        <w:trPr>
          <w:trHeight w:val="439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陈先保</w:t>
            </w:r>
          </w:p>
        </w:tc>
        <w:tc>
          <w:tcPr>
            <w:tcW w:w="2138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Style w:val="showhidemsg"/>
              </w:rPr>
              <w:t>18705518269 </w:t>
            </w:r>
          </w:p>
        </w:tc>
      </w:tr>
      <w:tr w:rsidR="005F1964" w:rsidTr="00AF7D77">
        <w:trPr>
          <w:trHeight w:val="57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瓜子：8</w:t>
            </w:r>
            <w:r>
              <w:rPr>
                <w:rFonts w:ascii="楷体" w:eastAsia="楷体" w:hAnsi="楷体" w:cs="楷体"/>
                <w:sz w:val="24"/>
                <w:szCs w:val="24"/>
              </w:rPr>
              <w:t>1235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</w:t>
            </w:r>
            <w:r>
              <w:rPr>
                <w:rFonts w:ascii="楷体" w:eastAsia="楷体" w:hAnsi="楷体" w:cs="楷体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坚果：8</w:t>
            </w: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t/年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花生：1</w:t>
            </w:r>
            <w:r>
              <w:rPr>
                <w:rFonts w:ascii="楷体" w:eastAsia="楷体" w:hAnsi="楷体" w:cs="楷体"/>
                <w:sz w:val="24"/>
                <w:szCs w:val="24"/>
              </w:rPr>
              <w:t>768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</w:t>
            </w:r>
            <w:r>
              <w:rPr>
                <w:rFonts w:ascii="楷体" w:eastAsia="楷体" w:hAnsi="楷体" w:cs="楷体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豆类：7</w:t>
            </w:r>
            <w:r>
              <w:rPr>
                <w:rFonts w:ascii="楷体" w:eastAsia="楷体" w:hAnsi="楷体" w:cs="楷体"/>
                <w:sz w:val="24"/>
                <w:szCs w:val="24"/>
              </w:rPr>
              <w:t>844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t/年</w:t>
            </w:r>
          </w:p>
        </w:tc>
      </w:tr>
      <w:tr w:rsidR="005F1964" w:rsidTr="00AF7D77">
        <w:trPr>
          <w:trHeight w:val="524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合肥市经开区莲花路1</w:t>
            </w:r>
            <w:r>
              <w:rPr>
                <w:rFonts w:ascii="楷体" w:eastAsia="楷体" w:hAnsi="楷体" w:cs="楷体"/>
                <w:sz w:val="24"/>
                <w:szCs w:val="24"/>
              </w:rPr>
              <w:t>307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5F1964" w:rsidTr="00AF7D77">
        <w:trPr>
          <w:trHeight w:val="524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EBE">
              <w:rPr>
                <w:rFonts w:ascii="Times New Roman" w:hAnsi="Times New Roman"/>
                <w:sz w:val="24"/>
                <w:szCs w:val="24"/>
              </w:rPr>
              <w:t>http://www.qiaqiafood.com/#page2</w:t>
            </w:r>
          </w:p>
        </w:tc>
      </w:tr>
      <w:tr w:rsidR="005F1964" w:rsidTr="00AF7D77">
        <w:trPr>
          <w:trHeight w:val="58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、氮氧化物、二氧化硫、臭气浓度</w:t>
            </w:r>
          </w:p>
        </w:tc>
      </w:tr>
      <w:tr w:rsidR="005F1964" w:rsidTr="00AF7D77">
        <w:trPr>
          <w:trHeight w:val="577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污水经厂区污水站处理达标后排放至经开区污水处理厂；废气经过臭气处理设施处理后经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高排放口排出</w:t>
            </w:r>
          </w:p>
        </w:tc>
      </w:tr>
      <w:tr w:rsidR="005F1964" w:rsidTr="00AF7D77">
        <w:trPr>
          <w:trHeight w:val="54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污水排放口两个、废气排放口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5F1964" w:rsidTr="00AF7D77">
        <w:trPr>
          <w:trHeight w:val="565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0F46A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38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/L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L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.1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28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/m3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二氧化硫：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臭气浓度：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189</w:t>
            </w:r>
          </w:p>
        </w:tc>
      </w:tr>
      <w:tr w:rsidR="005F1964" w:rsidTr="00AF7D77">
        <w:trPr>
          <w:trHeight w:val="545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0F46A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5.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122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.07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</w:p>
        </w:tc>
      </w:tr>
      <w:tr w:rsidR="005F1964" w:rsidTr="00AF7D77">
        <w:trPr>
          <w:trHeight w:val="55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F1964" w:rsidTr="00AF7D77">
        <w:trPr>
          <w:trHeight w:val="575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80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臭气浓度：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/m3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二氧化硫：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林戈曼黑度：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</w:p>
        </w:tc>
      </w:tr>
      <w:tr w:rsidR="005F1964" w:rsidTr="00AF7D77">
        <w:trPr>
          <w:trHeight w:val="697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40.63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2.96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TN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18.5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.22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两座污水处理站（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050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洗气塔</w:t>
            </w:r>
            <w:proofErr w:type="gramEnd"/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小时运行</w:t>
            </w:r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8904EA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食品股份有限公司</w:t>
            </w: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食品生产线技术改造及能源改造项目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环境影响报告表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食品股份有限公司食品生产加工（华泰工业园区）项目环境影响报告表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申领排污许可证</w:t>
            </w:r>
          </w:p>
        </w:tc>
      </w:tr>
      <w:tr w:rsidR="005F1964" w:rsidTr="00AF7D77">
        <w:trPr>
          <w:trHeight w:val="1014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40106-2018-030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L</w:t>
            </w:r>
          </w:p>
        </w:tc>
      </w:tr>
      <w:tr w:rsidR="005F1964" w:rsidTr="00AF7D77">
        <w:trPr>
          <w:trHeight w:val="467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安徽省自行检测网站上按时公开</w:t>
            </w:r>
          </w:p>
        </w:tc>
      </w:tr>
    </w:tbl>
    <w:p w:rsidR="000A3E4F" w:rsidRPr="005F1964" w:rsidRDefault="000A3E4F" w:rsidP="00507283">
      <w:pPr>
        <w:adjustRightInd w:val="0"/>
        <w:snapToGrid w:val="0"/>
        <w:jc w:val="center"/>
      </w:pPr>
      <w:bookmarkStart w:id="0" w:name="_GoBack"/>
      <w:bookmarkEnd w:id="0"/>
    </w:p>
    <w:sectPr w:rsidR="000A3E4F" w:rsidRPr="005F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9E" w:rsidRDefault="0076279E" w:rsidP="007E3055">
      <w:r>
        <w:separator/>
      </w:r>
    </w:p>
  </w:endnote>
  <w:endnote w:type="continuationSeparator" w:id="0">
    <w:p w:rsidR="0076279E" w:rsidRDefault="0076279E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9E" w:rsidRDefault="0076279E" w:rsidP="007E3055">
      <w:r>
        <w:separator/>
      </w:r>
    </w:p>
  </w:footnote>
  <w:footnote w:type="continuationSeparator" w:id="0">
    <w:p w:rsidR="0076279E" w:rsidRDefault="0076279E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F46AF"/>
    <w:rsid w:val="0010506B"/>
    <w:rsid w:val="00114AE5"/>
    <w:rsid w:val="00294D3C"/>
    <w:rsid w:val="00507283"/>
    <w:rsid w:val="005F1964"/>
    <w:rsid w:val="0076279E"/>
    <w:rsid w:val="007E3055"/>
    <w:rsid w:val="008904EA"/>
    <w:rsid w:val="00AE36C1"/>
    <w:rsid w:val="00AE5FD7"/>
    <w:rsid w:val="00B45400"/>
    <w:rsid w:val="00C0674A"/>
    <w:rsid w:val="00C1640C"/>
    <w:rsid w:val="00CC5C13"/>
    <w:rsid w:val="00D7575F"/>
    <w:rsid w:val="00F43EBE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showhidemsg">
    <w:name w:val="showhidemsg"/>
    <w:basedOn w:val="a0"/>
    <w:rsid w:val="00AE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showhidemsg">
    <w:name w:val="showhidemsg"/>
    <w:basedOn w:val="a0"/>
    <w:rsid w:val="00AE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2021-05-13T06:24:00Z</dcterms:created>
  <dcterms:modified xsi:type="dcterms:W3CDTF">2021-09-13T07:37:00Z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