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26" w:rsidRDefault="008C5B26" w:rsidP="00073BEF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</w:p>
    <w:p w:rsidR="008C5B26" w:rsidRDefault="00D1100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8C5B26" w:rsidRDefault="00D1100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8C5B26">
        <w:trPr>
          <w:trHeight w:val="513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8C5B26" w:rsidRDefault="00D11001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安徽江淮汽车集团股份有限公司重型车分公司</w:t>
            </w:r>
          </w:p>
        </w:tc>
        <w:tc>
          <w:tcPr>
            <w:tcW w:w="2138" w:type="dxa"/>
            <w:vAlign w:val="center"/>
          </w:tcPr>
          <w:p w:rsidR="008C5B26" w:rsidRDefault="00D11001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91340000771106073T</w:t>
            </w:r>
          </w:p>
        </w:tc>
      </w:tr>
      <w:tr w:rsidR="008C5B26">
        <w:trPr>
          <w:trHeight w:val="439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安进</w:t>
            </w:r>
          </w:p>
        </w:tc>
        <w:tc>
          <w:tcPr>
            <w:tcW w:w="2138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18756036556</w:t>
            </w:r>
          </w:p>
        </w:tc>
      </w:tr>
      <w:tr w:rsidR="008C5B26">
        <w:trPr>
          <w:trHeight w:val="573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生产经营和管理服务的主要内容、产品及规模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年产4万辆中重型载货汽车、销售，汽车零部件制造、销售。</w:t>
            </w:r>
          </w:p>
        </w:tc>
      </w:tr>
      <w:tr w:rsidR="008C5B26">
        <w:trPr>
          <w:trHeight w:val="524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合肥市紫蓬路与始信路交叉口向西50米</w:t>
            </w:r>
          </w:p>
        </w:tc>
      </w:tr>
      <w:tr w:rsidR="008C5B26">
        <w:trPr>
          <w:trHeight w:val="524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企业网站</w:t>
            </w:r>
          </w:p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提供网址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https://www.jac.com.cn/</w:t>
            </w:r>
          </w:p>
        </w:tc>
      </w:tr>
      <w:tr w:rsidR="008C5B26">
        <w:trPr>
          <w:trHeight w:val="583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主要污染物及特征污染物的名称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主要污染物VOCs、COD、氨氮，特征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污染物总镍</w:t>
            </w:r>
            <w:proofErr w:type="gramEnd"/>
          </w:p>
        </w:tc>
      </w:tr>
      <w:tr w:rsidR="008C5B26">
        <w:trPr>
          <w:trHeight w:val="577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废气有组织排放，废水间接排放</w:t>
            </w:r>
          </w:p>
        </w:tc>
      </w:tr>
      <w:tr w:rsidR="008C5B26">
        <w:trPr>
          <w:trHeight w:val="543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废气排放口9处，废水排放口3处（1处总排口，2处车间排口）</w:t>
            </w:r>
          </w:p>
        </w:tc>
      </w:tr>
      <w:tr w:rsidR="008C5B26">
        <w:trPr>
          <w:trHeight w:val="565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COD32.3mg/L、氨氮0.1567mg/L、VOCs5.12mg/m³</w:t>
            </w:r>
          </w:p>
        </w:tc>
      </w:tr>
      <w:tr w:rsidR="008C5B26">
        <w:trPr>
          <w:trHeight w:val="545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COD3.564吨、氨氮0.02吨、VOCs5.212吨、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总镍0吨</w:t>
            </w:r>
            <w:proofErr w:type="gramEnd"/>
          </w:p>
        </w:tc>
      </w:tr>
      <w:tr w:rsidR="008C5B26">
        <w:trPr>
          <w:trHeight w:val="553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8C5B26">
        <w:trPr>
          <w:trHeight w:val="575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GB8978-1996</w:t>
            </w:r>
            <w:r>
              <w:rPr>
                <w:rFonts w:ascii="宋体" w:hAnsi="宋体" w:cs="宋体" w:hint="eastAsia"/>
                <w:szCs w:val="21"/>
              </w:rPr>
              <w:t>、GB/T31962-2015、GB16297-1996</w:t>
            </w:r>
          </w:p>
        </w:tc>
      </w:tr>
      <w:tr w:rsidR="008C5B26">
        <w:trPr>
          <w:trHeight w:val="697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核定的排放</w:t>
            </w:r>
          </w:p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 50.26t/a、 氨氮3.05t/a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9套废气治理设备，5套废水处理设施均建成并投入使用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运行正常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环建管[2010]4号、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[2010]99号、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环验[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2010]326号、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皖环函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[2013]1226号、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皖环函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[2015]568号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8C5B26">
        <w:trPr>
          <w:trHeight w:val="1014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突发环境事件应急预案（</w:t>
            </w:r>
            <w:r>
              <w:rPr>
                <w:rFonts w:ascii="宋体" w:hAnsi="宋体" w:cs="宋体" w:hint="eastAsia"/>
                <w:szCs w:val="21"/>
              </w:rPr>
              <w:t>有提供备案编号即可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340106-2019-024L</w:t>
            </w:r>
          </w:p>
        </w:tc>
      </w:tr>
      <w:tr w:rsidR="008C5B26">
        <w:trPr>
          <w:trHeight w:val="467"/>
        </w:trPr>
        <w:tc>
          <w:tcPr>
            <w:tcW w:w="2004" w:type="dxa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D1100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8C5B26" w:rsidRDefault="008C5B26">
      <w:pPr>
        <w:adjustRightInd w:val="0"/>
        <w:snapToGrid w:val="0"/>
        <w:jc w:val="center"/>
      </w:pPr>
    </w:p>
    <w:p w:rsidR="008C5B26" w:rsidRDefault="008C5B26" w:rsidP="00073BEF">
      <w:pPr>
        <w:adjustRightInd w:val="0"/>
        <w:snapToGrid w:val="0"/>
      </w:pPr>
      <w:bookmarkStart w:id="0" w:name="_GoBack"/>
      <w:bookmarkEnd w:id="0"/>
    </w:p>
    <w:sectPr w:rsidR="008C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F4" w:rsidRDefault="004C5BF4" w:rsidP="00B13D12">
      <w:r>
        <w:separator/>
      </w:r>
    </w:p>
  </w:endnote>
  <w:endnote w:type="continuationSeparator" w:id="0">
    <w:p w:rsidR="004C5BF4" w:rsidRDefault="004C5BF4" w:rsidP="00B1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F4" w:rsidRDefault="004C5BF4" w:rsidP="00B13D12">
      <w:r>
        <w:separator/>
      </w:r>
    </w:p>
  </w:footnote>
  <w:footnote w:type="continuationSeparator" w:id="0">
    <w:p w:rsidR="004C5BF4" w:rsidRDefault="004C5BF4" w:rsidP="00B1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73BEF"/>
    <w:rsid w:val="000A3E4F"/>
    <w:rsid w:val="00294D3C"/>
    <w:rsid w:val="004C269B"/>
    <w:rsid w:val="004C5BF4"/>
    <w:rsid w:val="007E3055"/>
    <w:rsid w:val="008C5B26"/>
    <w:rsid w:val="00AE5FD7"/>
    <w:rsid w:val="00B13D12"/>
    <w:rsid w:val="00C1640C"/>
    <w:rsid w:val="00D11001"/>
    <w:rsid w:val="00F53C76"/>
    <w:rsid w:val="05757DB4"/>
    <w:rsid w:val="07CB1635"/>
    <w:rsid w:val="19DD0563"/>
    <w:rsid w:val="1BAF59C3"/>
    <w:rsid w:val="22123F8A"/>
    <w:rsid w:val="2B8F5B39"/>
    <w:rsid w:val="3D8044EF"/>
    <w:rsid w:val="426D7311"/>
    <w:rsid w:val="778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2021-09-10T08:31:00Z</dcterms:created>
  <dcterms:modified xsi:type="dcterms:W3CDTF">2021-09-13T06:55:00Z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