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F458" w14:textId="77777777"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14:paraId="59ABB573" w14:textId="77777777"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004"/>
        <w:gridCol w:w="3066"/>
        <w:gridCol w:w="1854"/>
        <w:gridCol w:w="2115"/>
      </w:tblGrid>
      <w:tr w:rsidR="00C1640C" w14:paraId="7F608A2B" w14:textId="77777777" w:rsidTr="00751ACF">
        <w:trPr>
          <w:trHeight w:val="513"/>
        </w:trPr>
        <w:tc>
          <w:tcPr>
            <w:tcW w:w="2004" w:type="dxa"/>
            <w:vAlign w:val="center"/>
          </w:tcPr>
          <w:p w14:paraId="2B5CE2AE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066" w:type="dxa"/>
            <w:vAlign w:val="center"/>
          </w:tcPr>
          <w:p w14:paraId="25710840" w14:textId="537AA426" w:rsidR="00C1640C" w:rsidRDefault="003E3D5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日立建机（中国）有限公司</w:t>
            </w:r>
          </w:p>
        </w:tc>
        <w:tc>
          <w:tcPr>
            <w:tcW w:w="1854" w:type="dxa"/>
            <w:vAlign w:val="center"/>
          </w:tcPr>
          <w:p w14:paraId="7C564D52" w14:textId="77777777"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115" w:type="dxa"/>
            <w:vAlign w:val="center"/>
          </w:tcPr>
          <w:p w14:paraId="15E14D56" w14:textId="0B513DDB" w:rsidR="00C1640C" w:rsidRDefault="003E3D5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D58">
              <w:rPr>
                <w:rFonts w:ascii="Times New Roman" w:hAnsi="Times New Roman"/>
                <w:sz w:val="24"/>
                <w:szCs w:val="24"/>
              </w:rPr>
              <w:t>91340100610308512Q</w:t>
            </w:r>
          </w:p>
        </w:tc>
      </w:tr>
      <w:tr w:rsidR="00C1640C" w14:paraId="2CCCCB46" w14:textId="77777777" w:rsidTr="00751ACF">
        <w:trPr>
          <w:trHeight w:val="439"/>
        </w:trPr>
        <w:tc>
          <w:tcPr>
            <w:tcW w:w="2004" w:type="dxa"/>
            <w:vAlign w:val="center"/>
          </w:tcPr>
          <w:p w14:paraId="35A1A116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066" w:type="dxa"/>
            <w:vAlign w:val="center"/>
          </w:tcPr>
          <w:p w14:paraId="14ADA070" w14:textId="14EAE0C1" w:rsidR="00C1640C" w:rsidRDefault="003E3D5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田渊道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文</w:t>
            </w:r>
          </w:p>
        </w:tc>
        <w:tc>
          <w:tcPr>
            <w:tcW w:w="1854" w:type="dxa"/>
            <w:vAlign w:val="center"/>
          </w:tcPr>
          <w:p w14:paraId="63F09B30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115" w:type="dxa"/>
            <w:vAlign w:val="center"/>
          </w:tcPr>
          <w:p w14:paraId="207E6A9D" w14:textId="38E56DBB" w:rsidR="00C1640C" w:rsidRDefault="003E3D5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551-63849855</w:t>
            </w:r>
          </w:p>
        </w:tc>
      </w:tr>
      <w:tr w:rsidR="00C1640C" w14:paraId="46F8A657" w14:textId="77777777" w:rsidTr="00792B4A">
        <w:trPr>
          <w:trHeight w:val="573"/>
        </w:trPr>
        <w:tc>
          <w:tcPr>
            <w:tcW w:w="2004" w:type="dxa"/>
            <w:vAlign w:val="center"/>
          </w:tcPr>
          <w:p w14:paraId="479F05C9" w14:textId="77777777"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3AADC33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035" w:type="dxa"/>
            <w:gridSpan w:val="3"/>
            <w:vAlign w:val="center"/>
          </w:tcPr>
          <w:p w14:paraId="3725FA1B" w14:textId="2916EEBF" w:rsidR="003E3D58" w:rsidRDefault="003E3D58" w:rsidP="00137895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挖掘机等建设机械及零部件的开发、设计、制造、销售、服务、售后服务；液压挖掘机设计最大产能为3</w:t>
            </w:r>
            <w:r>
              <w:rPr>
                <w:rFonts w:ascii="楷体" w:eastAsia="楷体" w:hAnsi="楷体" w:cs="楷体"/>
                <w:sz w:val="24"/>
                <w:szCs w:val="24"/>
              </w:rPr>
              <w:t>2840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台/年</w:t>
            </w:r>
            <w:r w:rsidR="0013789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</w:tr>
      <w:tr w:rsidR="00C1640C" w14:paraId="34782301" w14:textId="77777777" w:rsidTr="00792B4A">
        <w:trPr>
          <w:trHeight w:val="524"/>
        </w:trPr>
        <w:tc>
          <w:tcPr>
            <w:tcW w:w="2004" w:type="dxa"/>
            <w:vAlign w:val="center"/>
          </w:tcPr>
          <w:p w14:paraId="4C122ADA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035" w:type="dxa"/>
            <w:gridSpan w:val="3"/>
            <w:vAlign w:val="center"/>
          </w:tcPr>
          <w:p w14:paraId="7002BF77" w14:textId="4730729A" w:rsidR="00C1640C" w:rsidRDefault="0013789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合肥市经济技术开发区耕云路9</w:t>
            </w: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C1640C" w14:paraId="1E2ABEFE" w14:textId="77777777" w:rsidTr="00792B4A">
        <w:trPr>
          <w:trHeight w:val="524"/>
        </w:trPr>
        <w:tc>
          <w:tcPr>
            <w:tcW w:w="2004" w:type="dxa"/>
            <w:vAlign w:val="center"/>
          </w:tcPr>
          <w:p w14:paraId="7FE3B10E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5D0C622A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035" w:type="dxa"/>
            <w:gridSpan w:val="3"/>
            <w:vAlign w:val="center"/>
          </w:tcPr>
          <w:p w14:paraId="3F1EDDAB" w14:textId="3630B80C" w:rsidR="00C1640C" w:rsidRDefault="0013789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895">
              <w:rPr>
                <w:rFonts w:ascii="Times New Roman" w:hAnsi="Times New Roman"/>
                <w:sz w:val="24"/>
                <w:szCs w:val="24"/>
              </w:rPr>
              <w:t>http://www.hitachicm.com.cn/</w:t>
            </w:r>
          </w:p>
        </w:tc>
      </w:tr>
      <w:tr w:rsidR="00C1640C" w14:paraId="5F489FA8" w14:textId="77777777" w:rsidTr="00792B4A">
        <w:trPr>
          <w:trHeight w:val="583"/>
        </w:trPr>
        <w:tc>
          <w:tcPr>
            <w:tcW w:w="2004" w:type="dxa"/>
            <w:vAlign w:val="center"/>
          </w:tcPr>
          <w:p w14:paraId="68EDCFE4" w14:textId="77777777"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7035" w:type="dxa"/>
            <w:gridSpan w:val="3"/>
            <w:vAlign w:val="center"/>
          </w:tcPr>
          <w:p w14:paraId="013FE66F" w14:textId="77777777" w:rsidR="00C1640C" w:rsidRDefault="0013789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、总磷、石油类、悬浮物</w:t>
            </w:r>
          </w:p>
          <w:p w14:paraId="064D51D2" w14:textId="792A7368" w:rsidR="00137895" w:rsidRDefault="0013789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废气：苯、甲苯、二甲苯、非甲烷总烃、颗粒物</w:t>
            </w:r>
          </w:p>
        </w:tc>
      </w:tr>
      <w:tr w:rsidR="00C1640C" w14:paraId="32EA2A16" w14:textId="77777777" w:rsidTr="00792B4A">
        <w:trPr>
          <w:trHeight w:val="577"/>
        </w:trPr>
        <w:tc>
          <w:tcPr>
            <w:tcW w:w="2004" w:type="dxa"/>
            <w:vAlign w:val="center"/>
          </w:tcPr>
          <w:p w14:paraId="0021DCFB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035" w:type="dxa"/>
            <w:gridSpan w:val="3"/>
            <w:vAlign w:val="center"/>
          </w:tcPr>
          <w:p w14:paraId="2E2740B5" w14:textId="678C87F8" w:rsidR="00137895" w:rsidRDefault="00137895" w:rsidP="0013789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设置规范排放口有组织排放</w:t>
            </w:r>
          </w:p>
        </w:tc>
      </w:tr>
      <w:tr w:rsidR="00C1640C" w14:paraId="7421AC9A" w14:textId="77777777" w:rsidTr="00792B4A">
        <w:trPr>
          <w:trHeight w:val="543"/>
        </w:trPr>
        <w:tc>
          <w:tcPr>
            <w:tcW w:w="2004" w:type="dxa"/>
            <w:vAlign w:val="center"/>
          </w:tcPr>
          <w:p w14:paraId="5C5D570C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035" w:type="dxa"/>
            <w:gridSpan w:val="3"/>
            <w:vAlign w:val="center"/>
          </w:tcPr>
          <w:p w14:paraId="03E14506" w14:textId="3D780366" w:rsidR="00C1640C" w:rsidRDefault="0013789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公司北区共有</w:t>
            </w:r>
            <w:r w:rsidRPr="00137895">
              <w:rPr>
                <w:rFonts w:ascii="Times New Roman" w:eastAsia="楷体" w:hAnsi="Times New Roman" w:hint="eastAsia"/>
                <w:sz w:val="24"/>
                <w:szCs w:val="24"/>
              </w:rPr>
              <w:t>34</w:t>
            </w:r>
            <w:r w:rsidRPr="00137895">
              <w:rPr>
                <w:rFonts w:ascii="Times New Roman" w:eastAsia="楷体" w:hAnsi="Times New Roman" w:hint="eastAsia"/>
                <w:sz w:val="24"/>
                <w:szCs w:val="24"/>
              </w:rPr>
              <w:t>个废气污染物排放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分散于全厂、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个废水排放口位于厂区南侧</w:t>
            </w:r>
          </w:p>
        </w:tc>
      </w:tr>
      <w:tr w:rsidR="00C1640C" w14:paraId="4660F627" w14:textId="77777777" w:rsidTr="00792B4A">
        <w:trPr>
          <w:trHeight w:val="565"/>
        </w:trPr>
        <w:tc>
          <w:tcPr>
            <w:tcW w:w="2004" w:type="dxa"/>
            <w:vAlign w:val="center"/>
          </w:tcPr>
          <w:p w14:paraId="4AE77D57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7035" w:type="dxa"/>
            <w:gridSpan w:val="3"/>
            <w:vAlign w:val="center"/>
          </w:tcPr>
          <w:p w14:paraId="2DC053F0" w14:textId="282F4AAD" w:rsidR="00C1640C" w:rsidRDefault="00137895" w:rsidP="0013789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37895"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37895">
              <w:rPr>
                <w:rFonts w:ascii="Times New Roman" w:eastAsia="楷体" w:hAnsi="Times New Roman"/>
                <w:sz w:val="24"/>
                <w:szCs w:val="24"/>
              </w:rPr>
              <w:t>TP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37895"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37895">
              <w:rPr>
                <w:rFonts w:ascii="Times New Roman" w:eastAsia="楷体" w:hAnsi="Times New Roman" w:hint="eastAsia"/>
                <w:sz w:val="24"/>
                <w:szCs w:val="24"/>
              </w:rPr>
              <w:t>石油类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37895">
              <w:rPr>
                <w:rFonts w:ascii="Times New Roman" w:eastAsia="楷体" w:hAnsi="Times New Roman"/>
                <w:sz w:val="24"/>
                <w:szCs w:val="24"/>
              </w:rPr>
              <w:t>SS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的委外检测最大浓度</w:t>
            </w:r>
            <w:r w:rsidRPr="00137895">
              <w:rPr>
                <w:rFonts w:ascii="Times New Roman" w:eastAsia="楷体" w:hAnsi="Times New Roman"/>
                <w:sz w:val="24"/>
                <w:szCs w:val="24"/>
              </w:rPr>
              <w:t>55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37895">
              <w:rPr>
                <w:rFonts w:ascii="Times New Roman" w:eastAsia="楷体" w:hAnsi="Times New Roman"/>
                <w:sz w:val="24"/>
                <w:szCs w:val="24"/>
              </w:rPr>
              <w:t>0.062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37895">
              <w:rPr>
                <w:rFonts w:ascii="Times New Roman" w:eastAsia="楷体" w:hAnsi="Times New Roman"/>
                <w:sz w:val="24"/>
                <w:szCs w:val="24"/>
              </w:rPr>
              <w:t>1.72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37895">
              <w:rPr>
                <w:rFonts w:ascii="Times New Roman" w:eastAsia="楷体" w:hAnsi="Times New Roman"/>
                <w:sz w:val="24"/>
                <w:szCs w:val="24"/>
              </w:rPr>
              <w:t>0.45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37895">
              <w:rPr>
                <w:rFonts w:ascii="Times New Roman" w:eastAsia="楷体" w:hAnsi="Times New Roman"/>
                <w:sz w:val="24"/>
                <w:szCs w:val="24"/>
              </w:rPr>
              <w:t>16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（单位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</w:p>
        </w:tc>
      </w:tr>
      <w:tr w:rsidR="00C1640C" w14:paraId="6728B6AA" w14:textId="77777777" w:rsidTr="00792B4A">
        <w:trPr>
          <w:trHeight w:val="545"/>
        </w:trPr>
        <w:tc>
          <w:tcPr>
            <w:tcW w:w="2004" w:type="dxa"/>
            <w:vAlign w:val="center"/>
          </w:tcPr>
          <w:p w14:paraId="10D01973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7035" w:type="dxa"/>
            <w:gridSpan w:val="3"/>
            <w:vAlign w:val="center"/>
          </w:tcPr>
          <w:p w14:paraId="1A6D1E1B" w14:textId="6EFAF66F" w:rsidR="00C1640C" w:rsidRDefault="0052502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 1.3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.04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C1640C" w14:paraId="3F6D2D11" w14:textId="77777777" w:rsidTr="0046352E">
        <w:trPr>
          <w:trHeight w:val="464"/>
        </w:trPr>
        <w:tc>
          <w:tcPr>
            <w:tcW w:w="2004" w:type="dxa"/>
            <w:vAlign w:val="center"/>
          </w:tcPr>
          <w:p w14:paraId="1FF4953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7035" w:type="dxa"/>
            <w:gridSpan w:val="3"/>
            <w:vAlign w:val="center"/>
          </w:tcPr>
          <w:p w14:paraId="050C2ED4" w14:textId="082E3062" w:rsidR="00C1640C" w:rsidRDefault="00792B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 w14:paraId="5AD1A035" w14:textId="77777777" w:rsidTr="00792B4A">
        <w:trPr>
          <w:trHeight w:val="575"/>
        </w:trPr>
        <w:tc>
          <w:tcPr>
            <w:tcW w:w="2004" w:type="dxa"/>
            <w:vAlign w:val="center"/>
          </w:tcPr>
          <w:p w14:paraId="5A66CBE7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7035" w:type="dxa"/>
            <w:gridSpan w:val="3"/>
            <w:vAlign w:val="center"/>
          </w:tcPr>
          <w:p w14:paraId="34A937E2" w14:textId="201ADA50" w:rsidR="00C1640C" w:rsidRDefault="00792B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废水执行合肥市经开区污水处理厂《接管标准》，废气执行《大气污染物综合排放标准（二级）》</w:t>
            </w:r>
          </w:p>
        </w:tc>
      </w:tr>
      <w:tr w:rsidR="00C1640C" w14:paraId="1A140A5B" w14:textId="77777777" w:rsidTr="00792B4A">
        <w:trPr>
          <w:trHeight w:val="697"/>
        </w:trPr>
        <w:tc>
          <w:tcPr>
            <w:tcW w:w="2004" w:type="dxa"/>
            <w:vAlign w:val="center"/>
          </w:tcPr>
          <w:p w14:paraId="36FBF98E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7BA1906D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7035" w:type="dxa"/>
            <w:gridSpan w:val="3"/>
            <w:vAlign w:val="center"/>
          </w:tcPr>
          <w:p w14:paraId="002EAF9F" w14:textId="1392862D" w:rsidR="00C1640C" w:rsidRDefault="00792B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 103.7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6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.29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C1640C" w:rsidRPr="002271B8" w14:paraId="504D2B02" w14:textId="77777777" w:rsidTr="00792B4A">
        <w:trPr>
          <w:trHeight w:val="652"/>
        </w:trPr>
        <w:tc>
          <w:tcPr>
            <w:tcW w:w="2004" w:type="dxa"/>
            <w:vAlign w:val="center"/>
          </w:tcPr>
          <w:p w14:paraId="0DDE034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7035" w:type="dxa"/>
            <w:gridSpan w:val="3"/>
            <w:vAlign w:val="center"/>
          </w:tcPr>
          <w:p w14:paraId="192F8D51" w14:textId="2BAFF1F1" w:rsidR="00C1640C" w:rsidRDefault="00792B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厂区内针对废水建有污水处理站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座，针对废气治理建有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套沸石转轮吸附脱附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装置以及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套活性炭吸附脱附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RCO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装置。</w:t>
            </w:r>
          </w:p>
        </w:tc>
      </w:tr>
      <w:tr w:rsidR="00C1640C" w14:paraId="1497106F" w14:textId="77777777" w:rsidTr="00792B4A">
        <w:trPr>
          <w:trHeight w:val="652"/>
        </w:trPr>
        <w:tc>
          <w:tcPr>
            <w:tcW w:w="2004" w:type="dxa"/>
            <w:vAlign w:val="center"/>
          </w:tcPr>
          <w:p w14:paraId="3B77BBCF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7035" w:type="dxa"/>
            <w:gridSpan w:val="3"/>
            <w:vAlign w:val="center"/>
          </w:tcPr>
          <w:p w14:paraId="7B6CB635" w14:textId="65A8618B" w:rsidR="00C1640C" w:rsidRDefault="00792B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6F58EB" w14:paraId="25830387" w14:textId="77777777" w:rsidTr="00792B4A">
        <w:trPr>
          <w:trHeight w:val="652"/>
        </w:trPr>
        <w:tc>
          <w:tcPr>
            <w:tcW w:w="2004" w:type="dxa"/>
            <w:vAlign w:val="center"/>
          </w:tcPr>
          <w:p w14:paraId="025E2B80" w14:textId="77777777" w:rsidR="006F58EB" w:rsidRDefault="006F58EB" w:rsidP="006F58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7035" w:type="dxa"/>
            <w:gridSpan w:val="3"/>
            <w:vAlign w:val="center"/>
          </w:tcPr>
          <w:tbl>
            <w:tblPr>
              <w:tblW w:w="8941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102"/>
              <w:gridCol w:w="2481"/>
              <w:gridCol w:w="1928"/>
            </w:tblGrid>
            <w:tr w:rsidR="006F58EB" w:rsidRPr="005D1C5C" w14:paraId="3393FB36" w14:textId="77777777" w:rsidTr="00D82716">
              <w:trPr>
                <w:trHeight w:val="49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606F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A64502">
                    <w:rPr>
                      <w:rFonts w:ascii="Times New Roman" w:eastAsia="楷体" w:hAnsi="Times New Roman" w:hint="eastAsia"/>
                      <w:sz w:val="24"/>
                      <w:szCs w:val="24"/>
                    </w:rPr>
                    <w:t xml:space="preserve"> </w:t>
                  </w: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项目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752DB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批复时间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27CD0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试生产批复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B2EEC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是否验收</w:t>
                  </w:r>
                </w:p>
              </w:tc>
            </w:tr>
            <w:tr w:rsidR="006F58EB" w:rsidRPr="005D1C5C" w14:paraId="05646B25" w14:textId="77777777" w:rsidTr="00D82716">
              <w:trPr>
                <w:trHeight w:val="1035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191A89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合肥经济技术开发区新工厂年产2000台挖掘机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1BE465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环管字【1996】89号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5BC5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E885D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分车间验收</w:t>
                  </w:r>
                </w:p>
              </w:tc>
            </w:tr>
            <w:tr w:rsidR="006F58EB" w:rsidRPr="005D1C5C" w14:paraId="2848390C" w14:textId="77777777" w:rsidTr="00D82716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6F2794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起重机及大型挖掘机生产项目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4E615C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环建审[2007]1081号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F9E55B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环建经试（2008）15号2008.09.22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E0B337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合环验</w:t>
                  </w:r>
                  <w:r w:rsidRPr="00766E4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[</w:t>
                  </w:r>
                  <w:proofErr w:type="gramEnd"/>
                  <w:r w:rsidRPr="00766E4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  <w:r w:rsidRPr="00766E4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262</w:t>
                  </w:r>
                </w:p>
              </w:tc>
            </w:tr>
            <w:tr w:rsidR="006F58EB" w:rsidRPr="005D1C5C" w14:paraId="4D949890" w14:textId="77777777" w:rsidTr="00D82716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C142B2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工程机械产品生产物流中心项目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288F7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环评函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[2007]895号2007.10.08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158CB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环建经试（2008）16号2008.09.22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C5492A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环验第009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-30号</w:t>
                  </w:r>
                </w:p>
              </w:tc>
            </w:tr>
            <w:tr w:rsidR="006F58EB" w:rsidRPr="005D1C5C" w14:paraId="256CA20B" w14:textId="77777777" w:rsidTr="00D82716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ADB104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挖掘机零部件涂装生产线项目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6CC517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环建审[2007]660号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D1C6A4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环建经试（2008）21号2008.12.05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BE5FC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[2009]07号2009.06.15</w:t>
                  </w:r>
                </w:p>
              </w:tc>
            </w:tr>
            <w:tr w:rsidR="006F58EB" w:rsidRPr="005D1C5C" w14:paraId="54FB6EA7" w14:textId="77777777" w:rsidTr="00D82716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91508B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日立结构件</w:t>
                  </w: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修补室</w:t>
                  </w:r>
                  <w:proofErr w:type="gramEnd"/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CBC874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环建审（经）[2008]057号2008.05.19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D5C975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环建经试（2008）21号2008.12.05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9E53A4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[2009]07号2009.06.15</w:t>
                  </w:r>
                </w:p>
              </w:tc>
            </w:tr>
            <w:tr w:rsidR="006F58EB" w:rsidRPr="005D1C5C" w14:paraId="4645263E" w14:textId="77777777" w:rsidTr="00D82716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D0DFB9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挖掘机生产扩建项目（停机场）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23A676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环建审（经）字[2008]039号2008.03.24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59FB5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BCCE59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[2011]16号2011.05.03</w:t>
                  </w:r>
                </w:p>
              </w:tc>
            </w:tr>
            <w:tr w:rsidR="006F58EB" w:rsidRPr="005D1C5C" w14:paraId="04AAD7B3" w14:textId="77777777" w:rsidTr="00D82716">
              <w:trPr>
                <w:trHeight w:val="780"/>
              </w:trPr>
              <w:tc>
                <w:tcPr>
                  <w:tcW w:w="2430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8E04E" w14:textId="77777777" w:rsidR="006F58EB" w:rsidRPr="00551E3B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北区扩建项目</w:t>
                  </w:r>
                </w:p>
              </w:tc>
              <w:tc>
                <w:tcPr>
                  <w:tcW w:w="210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21EAA0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环建审（经）字【2009】036号2009.05.14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32D13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环建经试（2010）06号2010.4.22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921E8D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2010.11.05</w:t>
                  </w: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合环经开分局阶验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【2010】09</w:t>
                  </w:r>
                </w:p>
              </w:tc>
            </w:tr>
            <w:tr w:rsidR="006F58EB" w:rsidRPr="005D1C5C" w14:paraId="5BC76583" w14:textId="77777777" w:rsidTr="00D82716">
              <w:trPr>
                <w:trHeight w:val="1290"/>
              </w:trPr>
              <w:tc>
                <w:tcPr>
                  <w:tcW w:w="2430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21A4A7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AB65E1B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44F792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环建经试（2012）1号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2012.</w:t>
                  </w: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2.24（申请延期至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2013.</w:t>
                  </w: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3.30）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DA53A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（2013）11号2013.03.27</w:t>
                  </w:r>
                </w:p>
              </w:tc>
            </w:tr>
            <w:tr w:rsidR="006F58EB" w:rsidRPr="005D1C5C" w14:paraId="67C954A1" w14:textId="77777777" w:rsidTr="00D82716">
              <w:trPr>
                <w:trHeight w:val="780"/>
              </w:trPr>
              <w:tc>
                <w:tcPr>
                  <w:tcW w:w="2430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8E2F81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8C12454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9B9AC2" w14:textId="77777777" w:rsidR="006F58EB" w:rsidRPr="005D1C5C" w:rsidRDefault="006F58EB" w:rsidP="006F58EB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环建经试（2014）1号2014.11.21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8CE20F" w14:textId="77777777" w:rsidR="006F58EB" w:rsidRPr="005D1C5C" w:rsidRDefault="006F58EB" w:rsidP="006F58EB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（2016）34号2016.05.23</w:t>
                  </w:r>
                </w:p>
              </w:tc>
            </w:tr>
            <w:tr w:rsidR="006F58EB" w:rsidRPr="005D1C5C" w14:paraId="345915E1" w14:textId="77777777" w:rsidTr="00D82716">
              <w:trPr>
                <w:trHeight w:val="52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C09601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C458BF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北区扩建项目</w:t>
                  </w: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环境影响后评价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478552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备案号：2017002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27648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105350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</w:tr>
            <w:tr w:rsidR="006F58EB" w:rsidRPr="005D1C5C" w14:paraId="680A49EB" w14:textId="77777777" w:rsidTr="00D82716">
              <w:trPr>
                <w:trHeight w:val="52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A92F34" w14:textId="77777777" w:rsidR="006F58EB" w:rsidRPr="00C458BF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大型</w:t>
                  </w:r>
                  <w:proofErr w:type="gramStart"/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结构件涂装线</w:t>
                  </w:r>
                  <w:proofErr w:type="gramEnd"/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技术升级改建项目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84CF41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环建审（经）字【20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】0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6号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 2018.12.17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0FEA00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90BF5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</w:tr>
          </w:tbl>
          <w:p w14:paraId="71B77150" w14:textId="51D752F3" w:rsidR="006F58EB" w:rsidRDefault="006F58EB" w:rsidP="006F58E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6F58EB" w14:paraId="2D6A591D" w14:textId="77777777" w:rsidTr="00792B4A">
        <w:trPr>
          <w:trHeight w:val="652"/>
        </w:trPr>
        <w:tc>
          <w:tcPr>
            <w:tcW w:w="2004" w:type="dxa"/>
            <w:vAlign w:val="center"/>
          </w:tcPr>
          <w:p w14:paraId="2E2B0705" w14:textId="77777777" w:rsidR="006F58EB" w:rsidRDefault="006F58EB" w:rsidP="006F58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7035" w:type="dxa"/>
            <w:gridSpan w:val="3"/>
            <w:vAlign w:val="center"/>
          </w:tcPr>
          <w:p w14:paraId="43B90E67" w14:textId="6903E8AB" w:rsidR="006F58EB" w:rsidRDefault="006F58EB" w:rsidP="006F58E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F58EB" w14:paraId="60A0F743" w14:textId="77777777" w:rsidTr="00792B4A">
        <w:trPr>
          <w:trHeight w:val="1014"/>
        </w:trPr>
        <w:tc>
          <w:tcPr>
            <w:tcW w:w="2004" w:type="dxa"/>
            <w:vAlign w:val="center"/>
          </w:tcPr>
          <w:p w14:paraId="63E98340" w14:textId="77777777" w:rsidR="006F58EB" w:rsidRDefault="006F58EB" w:rsidP="006F58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035" w:type="dxa"/>
            <w:gridSpan w:val="3"/>
            <w:vAlign w:val="center"/>
          </w:tcPr>
          <w:p w14:paraId="105D26AA" w14:textId="1FD7E50E" w:rsidR="006F58EB" w:rsidRDefault="006F58EB" w:rsidP="006F58E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备案号：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340106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-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-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006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-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L</w:t>
            </w:r>
          </w:p>
        </w:tc>
      </w:tr>
      <w:tr w:rsidR="006F58EB" w14:paraId="31406907" w14:textId="77777777" w:rsidTr="00792B4A">
        <w:trPr>
          <w:trHeight w:val="467"/>
        </w:trPr>
        <w:tc>
          <w:tcPr>
            <w:tcW w:w="2004" w:type="dxa"/>
            <w:vAlign w:val="center"/>
          </w:tcPr>
          <w:p w14:paraId="1A3AA553" w14:textId="77777777" w:rsidR="006F58EB" w:rsidRDefault="006F58EB" w:rsidP="006F58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035" w:type="dxa"/>
            <w:gridSpan w:val="3"/>
            <w:vAlign w:val="center"/>
          </w:tcPr>
          <w:p w14:paraId="56E52EC7" w14:textId="77777777" w:rsidR="006F58EB" w:rsidRDefault="006F58EB" w:rsidP="006F58E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14:paraId="0F09F821" w14:textId="77777777" w:rsidR="00C1640C" w:rsidRDefault="00C1640C" w:rsidP="00F53C76">
      <w:pPr>
        <w:adjustRightInd w:val="0"/>
        <w:snapToGrid w:val="0"/>
        <w:jc w:val="center"/>
      </w:pPr>
    </w:p>
    <w:p w14:paraId="058172E8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7B4005BA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4F4E9F73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5F563FA9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2DFE9B63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4AA4D558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08C2F774" w14:textId="77777777" w:rsidR="00525BF3" w:rsidRDefault="00525BF3" w:rsidP="005C05D7">
      <w:pPr>
        <w:adjustRightInd w:val="0"/>
        <w:snapToGrid w:val="0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525BF3" w:rsidSect="00792B4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8B7A1" w14:textId="77777777" w:rsidR="003E58FA" w:rsidRDefault="003E58FA" w:rsidP="007E3055">
      <w:r>
        <w:separator/>
      </w:r>
    </w:p>
  </w:endnote>
  <w:endnote w:type="continuationSeparator" w:id="0">
    <w:p w14:paraId="6E7FC2F6" w14:textId="77777777" w:rsidR="003E58FA" w:rsidRDefault="003E58FA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89D3D" w14:textId="77777777" w:rsidR="003E58FA" w:rsidRDefault="003E58FA" w:rsidP="007E3055">
      <w:r>
        <w:separator/>
      </w:r>
    </w:p>
  </w:footnote>
  <w:footnote w:type="continuationSeparator" w:id="0">
    <w:p w14:paraId="006C49F1" w14:textId="77777777" w:rsidR="003E58FA" w:rsidRDefault="003E58FA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37895"/>
    <w:rsid w:val="001E719E"/>
    <w:rsid w:val="002271B8"/>
    <w:rsid w:val="00294D3C"/>
    <w:rsid w:val="00315755"/>
    <w:rsid w:val="00334FB4"/>
    <w:rsid w:val="00364024"/>
    <w:rsid w:val="003E3D58"/>
    <w:rsid w:val="003E58FA"/>
    <w:rsid w:val="0046352E"/>
    <w:rsid w:val="004965A1"/>
    <w:rsid w:val="004E20EE"/>
    <w:rsid w:val="0052465F"/>
    <w:rsid w:val="00525020"/>
    <w:rsid w:val="00525BF3"/>
    <w:rsid w:val="005C05D7"/>
    <w:rsid w:val="006F58EB"/>
    <w:rsid w:val="00704B33"/>
    <w:rsid w:val="00751ACF"/>
    <w:rsid w:val="00767CCD"/>
    <w:rsid w:val="00792B4A"/>
    <w:rsid w:val="007E3055"/>
    <w:rsid w:val="00A43DC1"/>
    <w:rsid w:val="00A64502"/>
    <w:rsid w:val="00AE5FD7"/>
    <w:rsid w:val="00AF0096"/>
    <w:rsid w:val="00C1640C"/>
    <w:rsid w:val="00C441A9"/>
    <w:rsid w:val="00D60B69"/>
    <w:rsid w:val="00F27DFE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1C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221</Words>
  <Characters>1266</Characters>
  <Application>Microsoft Office Word</Application>
  <DocSecurity>0</DocSecurity>
  <Lines>10</Lines>
  <Paragraphs>2</Paragraphs>
  <ScaleCrop>false</ScaleCrop>
  <Company>china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2021-05-13T06:24:00Z</dcterms:created>
  <dcterms:modified xsi:type="dcterms:W3CDTF">2021-09-13T02:29:00Z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